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eastAsia="宋体" w:cs="宋体"/>
          <w:b/>
          <w:bCs/>
          <w:sz w:val="44"/>
          <w:szCs w:val="36"/>
        </w:rPr>
      </w:pPr>
      <w:r>
        <w:rPr>
          <w:rFonts w:hint="eastAsia" w:ascii="宋体" w:hAnsi="宋体" w:cs="宋体"/>
          <w:b/>
          <w:bCs/>
          <w:sz w:val="44"/>
          <w:szCs w:val="36"/>
        </w:rPr>
        <w:t>赣州市第一中学</w:t>
      </w:r>
      <w:r>
        <w:rPr>
          <w:rFonts w:hint="eastAsia" w:ascii="宋体" w:hAnsi="宋体" w:cs="宋体"/>
          <w:b/>
          <w:bCs/>
          <w:sz w:val="44"/>
          <w:szCs w:val="36"/>
          <w:lang w:eastAsia="zh-CN"/>
        </w:rPr>
        <w:t>单位</w:t>
      </w:r>
      <w:r>
        <w:rPr>
          <w:rFonts w:hint="eastAsia" w:ascii="宋体" w:hAnsi="宋体" w:eastAsia="宋体" w:cs="宋体"/>
          <w:b/>
          <w:bCs/>
          <w:sz w:val="44"/>
          <w:szCs w:val="36"/>
        </w:rPr>
        <w:t>202</w:t>
      </w:r>
      <w:r>
        <w:rPr>
          <w:rFonts w:hint="eastAsia" w:ascii="宋体" w:hAnsi="宋体" w:cs="宋体"/>
          <w:b/>
          <w:bCs/>
          <w:sz w:val="44"/>
          <w:szCs w:val="36"/>
          <w:lang w:val="en-US" w:eastAsia="zh-CN"/>
        </w:rPr>
        <w:t>1</w:t>
      </w:r>
      <w:r>
        <w:rPr>
          <w:rFonts w:hint="eastAsia" w:ascii="宋体" w:hAnsi="宋体" w:eastAsia="宋体" w:cs="宋体"/>
          <w:b/>
          <w:bCs/>
          <w:sz w:val="44"/>
          <w:szCs w:val="36"/>
        </w:rPr>
        <w:t>年度</w:t>
      </w:r>
      <w:r>
        <w:rPr>
          <w:rFonts w:hint="eastAsia" w:ascii="宋体" w:hAnsi="宋体" w:cs="宋体"/>
          <w:b/>
          <w:bCs/>
          <w:sz w:val="44"/>
          <w:szCs w:val="36"/>
          <w:lang w:eastAsia="zh-CN"/>
        </w:rPr>
        <w:t>单位</w:t>
      </w:r>
      <w:r>
        <w:rPr>
          <w:rFonts w:hint="eastAsia" w:ascii="宋体" w:hAnsi="宋体" w:eastAsia="宋体" w:cs="宋体"/>
          <w:b/>
          <w:bCs/>
          <w:sz w:val="44"/>
          <w:szCs w:val="36"/>
        </w:rPr>
        <w:t>决算</w:t>
      </w:r>
    </w:p>
    <w:p>
      <w:pPr>
        <w:spacing w:line="600" w:lineRule="exact"/>
        <w:jc w:val="center"/>
        <w:rPr>
          <w:rFonts w:hint="eastAsia" w:ascii="黑体" w:eastAsia="黑体"/>
          <w:sz w:val="44"/>
          <w:szCs w:val="36"/>
          <w:lang w:eastAsia="zh-CN"/>
        </w:rPr>
      </w:pPr>
    </w:p>
    <w:p>
      <w:pPr>
        <w:spacing w:line="600" w:lineRule="exact"/>
        <w:jc w:val="center"/>
        <w:rPr>
          <w:rFonts w:hint="eastAsia" w:ascii="宋体" w:hAnsi="宋体" w:eastAsia="宋体" w:cs="宋体"/>
          <w:b/>
          <w:bCs/>
          <w:sz w:val="40"/>
          <w:szCs w:val="36"/>
        </w:rPr>
      </w:pPr>
      <w:r>
        <w:rPr>
          <w:rFonts w:hint="eastAsia" w:ascii="宋体" w:hAnsi="宋体" w:eastAsia="宋体" w:cs="宋体"/>
          <w:b/>
          <w:bCs/>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 xml:space="preserve">第一部分  </w:t>
      </w:r>
      <w:r>
        <w:rPr>
          <w:rFonts w:hint="eastAsia" w:ascii="黑体" w:hAnsi="黑体" w:eastAsia="黑体"/>
          <w:sz w:val="32"/>
          <w:szCs w:val="32"/>
        </w:rPr>
        <w:t>赣一中</w:t>
      </w:r>
      <w:r>
        <w:rPr>
          <w:rFonts w:hint="eastAsia" w:ascii="黑体" w:hAnsi="黑体" w:eastAsia="黑体"/>
          <w:sz w:val="32"/>
          <w:szCs w:val="32"/>
          <w:lang w:eastAsia="zh-CN"/>
        </w:rPr>
        <w:t>单位</w:t>
      </w:r>
      <w:r>
        <w:rPr>
          <w:rFonts w:hint="eastAsia" w:ascii="黑体" w:hAnsi="黑体" w:eastAsia="黑体"/>
          <w:b/>
          <w:sz w:val="32"/>
          <w:szCs w:val="32"/>
        </w:rPr>
        <w:t>概况</w:t>
      </w:r>
    </w:p>
    <w:p>
      <w:pPr>
        <w:widowControl/>
        <w:spacing w:line="600" w:lineRule="exact"/>
        <w:ind w:firstLine="640"/>
        <w:jc w:val="left"/>
        <w:rPr>
          <w:rFonts w:hint="eastAsia" w:ascii="仿宋" w:hAnsi="仿宋" w:eastAsia="仿宋"/>
          <w:sz w:val="32"/>
          <w:szCs w:val="30"/>
        </w:rPr>
      </w:pPr>
      <w:r>
        <w:rPr>
          <w:rFonts w:hint="eastAsia" w:ascii="仿宋_GB2312" w:eastAsia="仿宋_GB2312"/>
          <w:b/>
          <w:sz w:val="32"/>
          <w:szCs w:val="30"/>
        </w:rPr>
        <w:t xml:space="preserve">    </w:t>
      </w:r>
      <w:r>
        <w:rPr>
          <w:rFonts w:hint="eastAsia" w:ascii="仿宋" w:hAnsi="仿宋" w:eastAsia="仿宋"/>
          <w:sz w:val="32"/>
          <w:szCs w:val="30"/>
        </w:rPr>
        <w:t>一、</w:t>
      </w:r>
      <w:r>
        <w:rPr>
          <w:rFonts w:hint="eastAsia" w:ascii="仿宋" w:hAnsi="仿宋" w:eastAsia="仿宋"/>
          <w:sz w:val="32"/>
          <w:szCs w:val="30"/>
          <w:lang w:eastAsia="zh-CN"/>
        </w:rPr>
        <w:t>单位</w:t>
      </w:r>
      <w:r>
        <w:rPr>
          <w:rFonts w:hint="eastAsia" w:ascii="仿宋" w:hAnsi="仿宋" w:eastAsia="仿宋"/>
          <w:sz w:val="32"/>
          <w:szCs w:val="30"/>
        </w:rPr>
        <w:t>主要职责</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二、</w:t>
      </w:r>
      <w:r>
        <w:rPr>
          <w:rFonts w:hint="eastAsia" w:ascii="仿宋" w:hAnsi="仿宋" w:eastAsia="仿宋" w:cs="宋体"/>
          <w:kern w:val="0"/>
          <w:sz w:val="32"/>
          <w:szCs w:val="32"/>
          <w:lang w:eastAsia="zh-CN"/>
        </w:rPr>
        <w:t>单位</w:t>
      </w:r>
      <w:r>
        <w:rPr>
          <w:rFonts w:hint="eastAsia" w:ascii="仿宋" w:hAnsi="仿宋" w:eastAsia="仿宋" w:cs="宋体"/>
          <w:kern w:val="0"/>
          <w:sz w:val="32"/>
          <w:szCs w:val="32"/>
        </w:rPr>
        <w:t>基本情况</w:t>
      </w:r>
    </w:p>
    <w:p>
      <w:pPr>
        <w:widowControl/>
        <w:spacing w:line="600" w:lineRule="exact"/>
        <w:ind w:firstLine="640"/>
        <w:jc w:val="left"/>
        <w:rPr>
          <w:rFonts w:hint="eastAsia" w:ascii="黑体" w:hAnsi="黑体" w:eastAsia="黑体"/>
          <w:sz w:val="32"/>
          <w:szCs w:val="32"/>
        </w:rPr>
      </w:pPr>
      <w:r>
        <w:rPr>
          <w:rFonts w:hint="eastAsia" w:ascii="黑体" w:hAnsi="黑体" w:eastAsia="黑体"/>
          <w:sz w:val="32"/>
          <w:szCs w:val="32"/>
        </w:rPr>
        <w:t>第二部分  202</w:t>
      </w:r>
      <w:r>
        <w:rPr>
          <w:rFonts w:hint="eastAsia" w:ascii="黑体" w:hAnsi="黑体" w:eastAsia="黑体"/>
          <w:sz w:val="32"/>
          <w:szCs w:val="32"/>
          <w:lang w:val="en-US" w:eastAsia="zh-CN"/>
        </w:rPr>
        <w:t>1</w:t>
      </w:r>
      <w:r>
        <w:rPr>
          <w:rFonts w:hint="eastAsia" w:ascii="黑体" w:hAnsi="黑体" w:eastAsia="黑体"/>
          <w:sz w:val="32"/>
          <w:szCs w:val="32"/>
        </w:rPr>
        <w:t>年度</w:t>
      </w:r>
      <w:r>
        <w:rPr>
          <w:rFonts w:hint="eastAsia" w:ascii="黑体" w:hAnsi="黑体" w:eastAsia="黑体"/>
          <w:sz w:val="32"/>
          <w:szCs w:val="32"/>
          <w:lang w:eastAsia="zh-CN"/>
        </w:rPr>
        <w:t>单位</w:t>
      </w:r>
      <w:r>
        <w:rPr>
          <w:rFonts w:hint="eastAsia" w:ascii="黑体" w:hAnsi="黑体" w:eastAsia="黑体"/>
          <w:sz w:val="32"/>
          <w:szCs w:val="32"/>
        </w:rPr>
        <w:t>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七、“三公”经费支出决算表</w:t>
      </w:r>
    </w:p>
    <w:p>
      <w:pPr>
        <w:widowControl/>
        <w:numPr>
          <w:ilvl w:val="0"/>
          <w:numId w:val="1"/>
        </w:numPr>
        <w:spacing w:line="600" w:lineRule="exact"/>
        <w:ind w:left="1280" w:leftChars="0" w:firstLine="0" w:firstLineChars="0"/>
        <w:jc w:val="left"/>
        <w:rPr>
          <w:rFonts w:hint="eastAsia" w:ascii="仿宋" w:hAnsi="仿宋" w:eastAsia="仿宋" w:cs="宋体"/>
          <w:kern w:val="0"/>
          <w:sz w:val="32"/>
          <w:szCs w:val="32"/>
        </w:rPr>
      </w:pPr>
      <w:r>
        <w:rPr>
          <w:rFonts w:hint="eastAsia" w:ascii="仿宋" w:hAnsi="仿宋" w:eastAsia="仿宋" w:cs="宋体"/>
          <w:kern w:val="0"/>
          <w:sz w:val="32"/>
          <w:szCs w:val="32"/>
        </w:rPr>
        <w:t>政府性基金预算财政拨款收入支出决算表</w:t>
      </w:r>
    </w:p>
    <w:p>
      <w:pPr>
        <w:widowControl/>
        <w:numPr>
          <w:ilvl w:val="0"/>
          <w:numId w:val="1"/>
        </w:numPr>
        <w:spacing w:line="600" w:lineRule="exact"/>
        <w:ind w:left="1280" w:leftChars="0" w:firstLine="0" w:firstLineChars="0"/>
        <w:jc w:val="left"/>
        <w:rPr>
          <w:rFonts w:hint="eastAsia" w:ascii="仿宋" w:hAnsi="仿宋" w:eastAsia="仿宋" w:cs="宋体"/>
          <w:kern w:val="0"/>
          <w:sz w:val="32"/>
          <w:szCs w:val="32"/>
        </w:rPr>
      </w:pPr>
      <w:r>
        <w:rPr>
          <w:rFonts w:hint="eastAsia" w:ascii="仿宋" w:hAnsi="仿宋" w:eastAsia="仿宋" w:cs="宋体"/>
          <w:kern w:val="0"/>
          <w:sz w:val="32"/>
          <w:szCs w:val="32"/>
          <w:lang w:val="en-US" w:eastAsia="zh-CN"/>
        </w:rPr>
        <w:t>国有资本经营预算财政拨款支出决算表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十</w:t>
      </w:r>
      <w:r>
        <w:rPr>
          <w:rFonts w:hint="eastAsia" w:ascii="仿宋" w:hAnsi="仿宋" w:eastAsia="仿宋" w:cs="宋体"/>
          <w:kern w:val="0"/>
          <w:sz w:val="32"/>
          <w:szCs w:val="32"/>
        </w:rPr>
        <w:t>、国有资产占用情况表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第三部分  202</w:t>
      </w:r>
      <w:r>
        <w:rPr>
          <w:rFonts w:hint="eastAsia" w:ascii="黑体" w:hAnsi="黑体" w:eastAsia="黑体"/>
          <w:sz w:val="32"/>
          <w:szCs w:val="32"/>
          <w:lang w:val="en-US" w:eastAsia="zh-CN"/>
        </w:rPr>
        <w:t>1</w:t>
      </w:r>
      <w:r>
        <w:rPr>
          <w:rFonts w:hint="eastAsia" w:ascii="黑体" w:hAnsi="黑体" w:eastAsia="黑体"/>
          <w:sz w:val="32"/>
          <w:szCs w:val="32"/>
        </w:rPr>
        <w:t>年度</w:t>
      </w:r>
      <w:r>
        <w:rPr>
          <w:rFonts w:hint="eastAsia" w:ascii="黑体" w:hAnsi="黑体" w:eastAsia="黑体"/>
          <w:sz w:val="32"/>
          <w:szCs w:val="32"/>
          <w:lang w:eastAsia="zh-CN"/>
        </w:rPr>
        <w:t>单位</w:t>
      </w:r>
      <w:r>
        <w:rPr>
          <w:rFonts w:hint="eastAsia" w:ascii="黑体" w:hAnsi="黑体" w:eastAsia="黑体"/>
          <w:sz w:val="32"/>
          <w:szCs w:val="32"/>
        </w:rPr>
        <w:t>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五、“三公”经费支出决算情况说明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both"/>
        <w:rPr>
          <w:rFonts w:hint="eastAsia" w:ascii="宋体" w:hAnsi="宋体"/>
          <w:b/>
          <w:sz w:val="36"/>
          <w:szCs w:val="36"/>
        </w:rPr>
      </w:pPr>
    </w:p>
    <w:p>
      <w:pPr>
        <w:ind w:firstLine="630"/>
        <w:jc w:val="both"/>
        <w:rPr>
          <w:rFonts w:hint="eastAsia" w:ascii="宋体" w:hAnsi="宋体"/>
          <w:b/>
          <w:sz w:val="36"/>
          <w:szCs w:val="36"/>
        </w:rPr>
      </w:pPr>
    </w:p>
    <w:p>
      <w:pPr>
        <w:widowControl/>
        <w:spacing w:line="580" w:lineRule="exact"/>
        <w:jc w:val="center"/>
        <w:rPr>
          <w:rFonts w:hint="eastAsia" w:ascii="宋体" w:hAnsi="宋体"/>
          <w:b/>
          <w:sz w:val="32"/>
          <w:szCs w:val="30"/>
        </w:rPr>
      </w:pPr>
    </w:p>
    <w:p>
      <w:pPr>
        <w:widowControl/>
        <w:spacing w:line="580" w:lineRule="exact"/>
        <w:jc w:val="center"/>
        <w:rPr>
          <w:rFonts w:hint="eastAsia" w:ascii="宋体" w:hAnsi="宋体"/>
          <w:b/>
          <w:sz w:val="32"/>
          <w:szCs w:val="30"/>
        </w:rPr>
      </w:pPr>
    </w:p>
    <w:p>
      <w:pPr>
        <w:widowControl/>
        <w:spacing w:line="580" w:lineRule="exact"/>
        <w:jc w:val="center"/>
        <w:rPr>
          <w:rFonts w:hint="eastAsia" w:ascii="宋体" w:hAnsi="宋体"/>
          <w:b/>
          <w:sz w:val="32"/>
          <w:szCs w:val="30"/>
        </w:rPr>
      </w:pPr>
      <w:r>
        <w:rPr>
          <w:rFonts w:hint="eastAsia" w:ascii="宋体" w:hAnsi="宋体"/>
          <w:b/>
          <w:sz w:val="32"/>
          <w:szCs w:val="30"/>
        </w:rPr>
        <w:t xml:space="preserve">第一部分  </w:t>
      </w:r>
      <w:r>
        <w:rPr>
          <w:rFonts w:hint="eastAsia" w:ascii="宋体" w:hAnsi="宋体"/>
          <w:b/>
          <w:sz w:val="32"/>
          <w:szCs w:val="32"/>
        </w:rPr>
        <w:t>赣一中</w:t>
      </w:r>
      <w:r>
        <w:rPr>
          <w:rFonts w:hint="eastAsia" w:ascii="宋体" w:hAnsi="宋体"/>
          <w:b/>
          <w:sz w:val="32"/>
          <w:szCs w:val="32"/>
          <w:lang w:eastAsia="zh-CN"/>
        </w:rPr>
        <w:t>单位</w:t>
      </w:r>
      <w:r>
        <w:rPr>
          <w:rFonts w:hint="eastAsia" w:ascii="宋体" w:hAnsi="宋体"/>
          <w:b/>
          <w:sz w:val="32"/>
          <w:szCs w:val="30"/>
        </w:rPr>
        <w:t>概况</w:t>
      </w:r>
    </w:p>
    <w:p>
      <w:pPr>
        <w:ind w:firstLine="630"/>
        <w:jc w:val="center"/>
        <w:rPr>
          <w:rFonts w:hint="eastAsia"/>
          <w:sz w:val="32"/>
          <w:szCs w:val="32"/>
        </w:rPr>
      </w:pPr>
    </w:p>
    <w:p>
      <w:pPr>
        <w:numPr>
          <w:ilvl w:val="0"/>
          <w:numId w:val="2"/>
        </w:numPr>
        <w:ind w:firstLine="630"/>
        <w:jc w:val="left"/>
        <w:rPr>
          <w:rFonts w:hint="eastAsia" w:ascii="黑体" w:hAnsi="黑体" w:eastAsia="黑体"/>
          <w:sz w:val="30"/>
          <w:szCs w:val="30"/>
        </w:rPr>
      </w:pPr>
      <w:r>
        <w:rPr>
          <w:rFonts w:hint="eastAsia" w:ascii="黑体" w:hAnsi="黑体" w:eastAsia="黑体"/>
          <w:sz w:val="30"/>
          <w:szCs w:val="30"/>
          <w:lang w:eastAsia="zh-CN"/>
        </w:rPr>
        <w:t>单位</w:t>
      </w:r>
      <w:r>
        <w:rPr>
          <w:rFonts w:hint="eastAsia" w:ascii="黑体" w:hAnsi="黑体" w:eastAsia="黑体"/>
          <w:sz w:val="30"/>
          <w:szCs w:val="30"/>
        </w:rPr>
        <w:t>主要职能</w:t>
      </w:r>
    </w:p>
    <w:p>
      <w:pPr>
        <w:numPr>
          <w:ilvl w:val="0"/>
          <w:numId w:val="0"/>
        </w:numPr>
        <w:ind w:firstLine="600" w:firstLineChars="200"/>
        <w:jc w:val="left"/>
        <w:rPr>
          <w:rFonts w:hint="eastAsia" w:ascii="仿宋" w:hAnsi="仿宋" w:eastAsia="仿宋"/>
          <w:sz w:val="30"/>
          <w:szCs w:val="30"/>
        </w:rPr>
      </w:pPr>
      <w:r>
        <w:rPr>
          <w:rFonts w:hint="eastAsia" w:ascii="仿宋" w:hAnsi="仿宋" w:eastAsia="仿宋"/>
          <w:sz w:val="30"/>
          <w:szCs w:val="30"/>
        </w:rPr>
        <w:t>根据“三定”方案，我校主要职责如下：</w:t>
      </w:r>
    </w:p>
    <w:p>
      <w:pPr>
        <w:ind w:firstLine="630"/>
        <w:jc w:val="left"/>
        <w:rPr>
          <w:rFonts w:hint="eastAsia" w:ascii="仿宋" w:hAnsi="仿宋" w:eastAsia="仿宋"/>
          <w:sz w:val="30"/>
          <w:szCs w:val="30"/>
        </w:rPr>
      </w:pPr>
      <w:r>
        <w:rPr>
          <w:rFonts w:hint="eastAsia" w:ascii="仿宋" w:hAnsi="仿宋" w:eastAsia="仿宋"/>
          <w:sz w:val="30"/>
          <w:szCs w:val="30"/>
        </w:rPr>
        <w:t>1.贯彻执行党的教育方针政策和国家的教育法律、法规以及市委、市政府的决定。</w:t>
      </w:r>
    </w:p>
    <w:p>
      <w:pPr>
        <w:ind w:firstLine="630"/>
        <w:jc w:val="left"/>
        <w:rPr>
          <w:rFonts w:hint="eastAsia" w:ascii="仿宋" w:hAnsi="仿宋" w:eastAsia="仿宋"/>
          <w:sz w:val="30"/>
          <w:szCs w:val="30"/>
        </w:rPr>
      </w:pPr>
      <w:r>
        <w:rPr>
          <w:rFonts w:hint="eastAsia" w:ascii="仿宋" w:hAnsi="仿宋" w:eastAsia="仿宋"/>
          <w:sz w:val="30"/>
          <w:szCs w:val="30"/>
        </w:rPr>
        <w:t>2.全面贯彻国家教育方针，培养学生的创新精神与实践能力，使之成为社会主义事业的建设者和接班人。</w:t>
      </w:r>
    </w:p>
    <w:p>
      <w:pPr>
        <w:ind w:firstLine="630"/>
        <w:jc w:val="left"/>
        <w:rPr>
          <w:rFonts w:hint="eastAsia" w:ascii="仿宋" w:hAnsi="仿宋" w:eastAsia="仿宋"/>
          <w:sz w:val="30"/>
          <w:szCs w:val="30"/>
        </w:rPr>
      </w:pPr>
      <w:r>
        <w:rPr>
          <w:rFonts w:hint="eastAsia" w:ascii="仿宋" w:hAnsi="仿宋" w:eastAsia="仿宋"/>
          <w:sz w:val="30"/>
          <w:szCs w:val="30"/>
        </w:rPr>
        <w:t>3.负责赣州市部分初中和高中阶段学生教育教学工作和学历教育工作。</w:t>
      </w:r>
    </w:p>
    <w:p>
      <w:pPr>
        <w:ind w:firstLine="630"/>
        <w:jc w:val="left"/>
        <w:rPr>
          <w:rFonts w:hint="eastAsia" w:ascii="黑体" w:hAnsi="黑体" w:eastAsia="黑体"/>
          <w:sz w:val="30"/>
          <w:szCs w:val="30"/>
        </w:rPr>
      </w:pPr>
      <w:r>
        <w:rPr>
          <w:rFonts w:hint="eastAsia" w:ascii="仿宋" w:hAnsi="仿宋" w:eastAsia="仿宋"/>
          <w:sz w:val="30"/>
          <w:szCs w:val="30"/>
        </w:rPr>
        <w:t>4.承办市委教育工委、市教育局交办的其他事项。</w:t>
      </w:r>
    </w:p>
    <w:p>
      <w:pPr>
        <w:ind w:firstLine="630"/>
        <w:jc w:val="left"/>
        <w:rPr>
          <w:rFonts w:hint="eastAsia" w:ascii="黑体" w:hAnsi="黑体" w:eastAsia="黑体"/>
          <w:sz w:val="30"/>
          <w:szCs w:val="30"/>
        </w:rPr>
      </w:pPr>
      <w:r>
        <w:rPr>
          <w:rFonts w:hint="eastAsia" w:ascii="黑体" w:hAnsi="黑体" w:eastAsia="黑体"/>
          <w:sz w:val="30"/>
          <w:szCs w:val="30"/>
        </w:rPr>
        <w:t>二、</w:t>
      </w:r>
      <w:r>
        <w:rPr>
          <w:rFonts w:hint="eastAsia" w:ascii="黑体" w:hAnsi="黑体" w:eastAsia="黑体"/>
          <w:sz w:val="30"/>
          <w:szCs w:val="30"/>
          <w:lang w:eastAsia="zh-CN"/>
        </w:rPr>
        <w:t>单位</w:t>
      </w:r>
      <w:r>
        <w:rPr>
          <w:rFonts w:hint="eastAsia" w:ascii="黑体" w:hAnsi="黑体" w:eastAsia="黑体"/>
          <w:sz w:val="30"/>
          <w:szCs w:val="30"/>
        </w:rPr>
        <w:t>基本情况</w:t>
      </w:r>
    </w:p>
    <w:p>
      <w:pPr>
        <w:ind w:firstLine="630"/>
        <w:jc w:val="left"/>
        <w:rPr>
          <w:rFonts w:ascii="仿宋" w:hAnsi="仿宋" w:eastAsia="仿宋"/>
          <w:sz w:val="30"/>
          <w:szCs w:val="30"/>
        </w:rPr>
      </w:pPr>
      <w:r>
        <w:rPr>
          <w:rFonts w:hint="eastAsia" w:ascii="仿宋" w:hAnsi="仿宋" w:eastAsia="仿宋"/>
          <w:sz w:val="30"/>
          <w:szCs w:val="30"/>
        </w:rPr>
        <w:t>纳入本套</w:t>
      </w:r>
      <w:r>
        <w:rPr>
          <w:rFonts w:hint="eastAsia" w:ascii="仿宋" w:hAnsi="仿宋" w:eastAsia="仿宋"/>
          <w:sz w:val="30"/>
          <w:szCs w:val="30"/>
          <w:lang w:eastAsia="zh-CN"/>
        </w:rPr>
        <w:t>单位</w:t>
      </w:r>
      <w:r>
        <w:rPr>
          <w:rFonts w:hint="eastAsia" w:ascii="仿宋" w:hAnsi="仿宋" w:eastAsia="仿宋"/>
          <w:sz w:val="30"/>
          <w:szCs w:val="30"/>
        </w:rPr>
        <w:t>决算汇编范围的单位共1个，包括：赣州市第一中学。</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rPr>
        <w:t>本</w:t>
      </w:r>
      <w:r>
        <w:rPr>
          <w:rFonts w:hint="eastAsia" w:ascii="仿宋" w:hAnsi="仿宋" w:eastAsia="仿宋"/>
          <w:sz w:val="30"/>
          <w:szCs w:val="30"/>
          <w:highlight w:val="none"/>
          <w:lang w:val="en-US" w:eastAsia="zh-CN"/>
        </w:rPr>
        <w:t>单位</w:t>
      </w:r>
      <w:r>
        <w:rPr>
          <w:rFonts w:hint="eastAsia" w:ascii="仿宋" w:hAnsi="仿宋" w:eastAsia="仿宋"/>
          <w:sz w:val="30"/>
          <w:szCs w:val="30"/>
          <w:highlight w:val="none"/>
        </w:rPr>
        <w:t>202</w:t>
      </w:r>
      <w:r>
        <w:rPr>
          <w:rFonts w:hint="eastAsia" w:ascii="仿宋" w:hAnsi="仿宋" w:eastAsia="仿宋"/>
          <w:sz w:val="30"/>
          <w:szCs w:val="30"/>
          <w:highlight w:val="none"/>
          <w:lang w:val="en-US" w:eastAsia="zh-CN"/>
        </w:rPr>
        <w:t>1</w:t>
      </w:r>
      <w:r>
        <w:rPr>
          <w:rFonts w:hint="eastAsia" w:ascii="仿宋" w:hAnsi="仿宋" w:eastAsia="仿宋"/>
          <w:sz w:val="30"/>
          <w:szCs w:val="30"/>
          <w:highlight w:val="none"/>
        </w:rPr>
        <w:t>年年末实有人数</w:t>
      </w:r>
      <w:r>
        <w:rPr>
          <w:rFonts w:hint="eastAsia" w:ascii="仿宋" w:hAnsi="仿宋" w:eastAsia="仿宋"/>
          <w:sz w:val="30"/>
          <w:szCs w:val="30"/>
          <w:highlight w:val="none"/>
          <w:lang w:val="en-US" w:eastAsia="zh-CN"/>
        </w:rPr>
        <w:t>463</w:t>
      </w:r>
      <w:r>
        <w:rPr>
          <w:rFonts w:hint="eastAsia" w:ascii="仿宋" w:hAnsi="仿宋" w:eastAsia="仿宋"/>
          <w:sz w:val="30"/>
          <w:szCs w:val="30"/>
          <w:highlight w:val="none"/>
        </w:rPr>
        <w:t>人，其中在职人员</w:t>
      </w:r>
      <w:r>
        <w:rPr>
          <w:rFonts w:hint="eastAsia" w:ascii="仿宋" w:hAnsi="仿宋" w:eastAsia="仿宋"/>
          <w:sz w:val="30"/>
          <w:szCs w:val="30"/>
          <w:highlight w:val="none"/>
          <w:lang w:val="en-US" w:eastAsia="zh-CN"/>
        </w:rPr>
        <w:t>316</w:t>
      </w:r>
      <w:r>
        <w:rPr>
          <w:rFonts w:hint="eastAsia" w:ascii="仿宋" w:hAnsi="仿宋" w:eastAsia="仿宋"/>
          <w:sz w:val="30"/>
          <w:szCs w:val="30"/>
          <w:highlight w:val="none"/>
        </w:rPr>
        <w:t xml:space="preserve">人，离休人员 </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 xml:space="preserve"> 人，退休人员 </w:t>
      </w:r>
      <w:r>
        <w:rPr>
          <w:rFonts w:hint="eastAsia" w:ascii="仿宋" w:hAnsi="仿宋" w:eastAsia="仿宋"/>
          <w:sz w:val="30"/>
          <w:szCs w:val="30"/>
          <w:highlight w:val="none"/>
          <w:lang w:val="en-US" w:eastAsia="zh-CN"/>
        </w:rPr>
        <w:t>147</w:t>
      </w:r>
      <w:r>
        <w:rPr>
          <w:rFonts w:hint="eastAsia" w:ascii="仿宋" w:hAnsi="仿宋" w:eastAsia="仿宋"/>
          <w:sz w:val="30"/>
          <w:szCs w:val="30"/>
          <w:highlight w:val="none"/>
        </w:rPr>
        <w:t>人</w:t>
      </w:r>
      <w:r>
        <w:rPr>
          <w:rFonts w:hint="eastAsia" w:ascii="仿宋" w:hAnsi="仿宋" w:eastAsia="仿宋"/>
          <w:sz w:val="30"/>
          <w:szCs w:val="30"/>
          <w:highlight w:val="none"/>
          <w:lang w:eastAsia="zh-CN"/>
        </w:rPr>
        <w:t>（</w:t>
      </w:r>
      <w:r>
        <w:rPr>
          <w:rFonts w:hint="eastAsia" w:ascii="仿宋" w:hAnsi="仿宋" w:eastAsia="仿宋"/>
          <w:sz w:val="30"/>
          <w:szCs w:val="30"/>
          <w:highlight w:val="none"/>
          <w:lang w:val="en-US" w:eastAsia="zh-CN"/>
        </w:rPr>
        <w:t>不含</w:t>
      </w:r>
      <w:r>
        <w:rPr>
          <w:rFonts w:hint="eastAsia" w:ascii="仿宋" w:hAnsi="仿宋" w:eastAsia="仿宋"/>
          <w:sz w:val="30"/>
          <w:szCs w:val="30"/>
          <w:highlight w:val="none"/>
        </w:rPr>
        <w:t>由养老保险基金发放养老金的离退休人员</w:t>
      </w:r>
      <w:r>
        <w:rPr>
          <w:rFonts w:hint="eastAsia" w:ascii="仿宋" w:hAnsi="仿宋" w:eastAsia="仿宋"/>
          <w:sz w:val="30"/>
          <w:szCs w:val="30"/>
          <w:highlight w:val="none"/>
          <w:lang w:eastAsia="zh-CN"/>
        </w:rPr>
        <w:t>）</w:t>
      </w:r>
      <w:r>
        <w:rPr>
          <w:rFonts w:hint="eastAsia" w:ascii="仿宋" w:hAnsi="仿宋" w:eastAsia="仿宋"/>
          <w:sz w:val="30"/>
          <w:szCs w:val="30"/>
          <w:highlight w:val="none"/>
        </w:rPr>
        <w:t>；年末其他人员</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人；年末学生人数</w:t>
      </w:r>
      <w:r>
        <w:rPr>
          <w:rFonts w:hint="eastAsia" w:ascii="仿宋" w:hAnsi="仿宋" w:eastAsia="仿宋"/>
          <w:sz w:val="30"/>
          <w:szCs w:val="30"/>
          <w:highlight w:val="none"/>
          <w:lang w:val="en-US" w:eastAsia="zh-CN"/>
        </w:rPr>
        <w:t>4513</w:t>
      </w:r>
      <w:r>
        <w:rPr>
          <w:rFonts w:hint="eastAsia" w:ascii="仿宋" w:hAnsi="仿宋" w:eastAsia="仿宋"/>
          <w:sz w:val="30"/>
          <w:szCs w:val="30"/>
          <w:highlight w:val="none"/>
        </w:rPr>
        <w:t>人</w:t>
      </w:r>
      <w:r>
        <w:rPr>
          <w:rFonts w:hint="eastAsia" w:ascii="仿宋" w:hAnsi="仿宋" w:eastAsia="仿宋"/>
          <w:sz w:val="30"/>
          <w:szCs w:val="30"/>
          <w:highlight w:val="none"/>
          <w:lang w:val="en-US" w:eastAsia="zh-CN"/>
        </w:rPr>
        <w:t>；</w:t>
      </w:r>
      <w:r>
        <w:rPr>
          <w:rFonts w:hint="eastAsia" w:ascii="仿宋" w:hAnsi="仿宋" w:eastAsia="仿宋"/>
          <w:sz w:val="30"/>
          <w:szCs w:val="30"/>
          <w:highlight w:val="none"/>
        </w:rPr>
        <w:t>由养老保险基金发放养老金的离退休人员</w:t>
      </w:r>
      <w:r>
        <w:rPr>
          <w:rFonts w:hint="eastAsia" w:ascii="仿宋" w:hAnsi="仿宋" w:eastAsia="仿宋"/>
          <w:sz w:val="30"/>
          <w:szCs w:val="30"/>
          <w:highlight w:val="none"/>
          <w:lang w:val="en-US" w:eastAsia="zh-CN"/>
        </w:rPr>
        <w:t>147</w:t>
      </w:r>
      <w:r>
        <w:rPr>
          <w:rFonts w:hint="eastAsia" w:ascii="仿宋" w:hAnsi="仿宋" w:eastAsia="仿宋"/>
          <w:sz w:val="30"/>
          <w:szCs w:val="30"/>
          <w:highlight w:val="none"/>
        </w:rPr>
        <w:t>人</w:t>
      </w:r>
      <w:r>
        <w:rPr>
          <w:rFonts w:hint="eastAsia" w:ascii="仿宋" w:hAnsi="仿宋" w:eastAsia="仿宋"/>
          <w:sz w:val="30"/>
          <w:szCs w:val="30"/>
          <w:highlight w:val="none"/>
          <w:lang w:eastAsia="zh-CN"/>
        </w:rPr>
        <w:t>。</w:t>
      </w:r>
    </w:p>
    <w:p>
      <w:pPr>
        <w:ind w:firstLine="630"/>
        <w:jc w:val="left"/>
        <w:rPr>
          <w:rFonts w:hint="eastAsia" w:ascii="仿宋" w:hAnsi="仿宋" w:eastAsia="仿宋"/>
          <w:sz w:val="30"/>
          <w:szCs w:val="30"/>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1928" w:firstLineChars="600"/>
        <w:jc w:val="both"/>
        <w:rPr>
          <w:rFonts w:ascii="宋体" w:hAnsi="宋体"/>
          <w:b/>
          <w:sz w:val="32"/>
          <w:szCs w:val="32"/>
        </w:rPr>
      </w:pPr>
      <w:r>
        <w:rPr>
          <w:rFonts w:hint="eastAsia" w:ascii="宋体" w:hAnsi="宋体"/>
          <w:b/>
          <w:sz w:val="32"/>
          <w:szCs w:val="32"/>
        </w:rPr>
        <w:t>第二部分  202</w:t>
      </w:r>
      <w:r>
        <w:rPr>
          <w:rFonts w:hint="eastAsia" w:ascii="宋体" w:hAnsi="宋体"/>
          <w:b/>
          <w:sz w:val="32"/>
          <w:szCs w:val="32"/>
          <w:lang w:val="en-US" w:eastAsia="zh-CN"/>
        </w:rPr>
        <w:t>1</w:t>
      </w:r>
      <w:r>
        <w:rPr>
          <w:rFonts w:hint="eastAsia" w:ascii="宋体" w:hAnsi="宋体"/>
          <w:b/>
          <w:sz w:val="32"/>
          <w:szCs w:val="32"/>
        </w:rPr>
        <w:t>年度</w:t>
      </w:r>
      <w:r>
        <w:rPr>
          <w:rFonts w:hint="eastAsia" w:ascii="宋体" w:hAnsi="宋体"/>
          <w:b/>
          <w:sz w:val="32"/>
          <w:szCs w:val="32"/>
          <w:lang w:eastAsia="zh-CN"/>
        </w:rPr>
        <w:t>单位</w:t>
      </w:r>
      <w:r>
        <w:rPr>
          <w:rFonts w:hint="eastAsia" w:ascii="宋体" w:hAnsi="宋体"/>
          <w:b/>
          <w:sz w:val="32"/>
          <w:szCs w:val="32"/>
        </w:rPr>
        <w:t>决算表</w:t>
      </w:r>
    </w:p>
    <w:p>
      <w:r>
        <w:drawing>
          <wp:inline distT="0" distB="0" distL="114300" distR="114300">
            <wp:extent cx="5273675" cy="5486400"/>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5273675" cy="5486400"/>
                    </a:xfrm>
                    <a:prstGeom prst="rect">
                      <a:avLst/>
                    </a:prstGeom>
                    <a:noFill/>
                    <a:ln>
                      <a:noFill/>
                    </a:ln>
                  </pic:spPr>
                </pic:pic>
              </a:graphicData>
            </a:graphic>
          </wp:inline>
        </w:drawing>
      </w:r>
    </w:p>
    <w:p/>
    <w:p>
      <w:r>
        <w:drawing>
          <wp:inline distT="0" distB="0" distL="114300" distR="114300">
            <wp:extent cx="5268595" cy="2781300"/>
            <wp:effectExtent l="0" t="0" r="825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stretch>
                      <a:fillRect/>
                    </a:stretch>
                  </pic:blipFill>
                  <pic:spPr>
                    <a:xfrm>
                      <a:off x="0" y="0"/>
                      <a:ext cx="5268595" cy="2781300"/>
                    </a:xfrm>
                    <a:prstGeom prst="rect">
                      <a:avLst/>
                    </a:prstGeom>
                    <a:noFill/>
                    <a:ln>
                      <a:noFill/>
                    </a:ln>
                  </pic:spPr>
                </pic:pic>
              </a:graphicData>
            </a:graphic>
          </wp:inline>
        </w:drawing>
      </w:r>
      <w:r>
        <w:drawing>
          <wp:inline distT="0" distB="0" distL="114300" distR="114300">
            <wp:extent cx="5264785" cy="3147695"/>
            <wp:effectExtent l="0" t="0" r="12065"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stretch>
                      <a:fillRect/>
                    </a:stretch>
                  </pic:blipFill>
                  <pic:spPr>
                    <a:xfrm>
                      <a:off x="0" y="0"/>
                      <a:ext cx="5264785" cy="3147695"/>
                    </a:xfrm>
                    <a:prstGeom prst="rect">
                      <a:avLst/>
                    </a:prstGeom>
                    <a:noFill/>
                    <a:ln>
                      <a:noFill/>
                    </a:ln>
                  </pic:spPr>
                </pic:pic>
              </a:graphicData>
            </a:graphic>
          </wp:inline>
        </w:drawing>
      </w:r>
      <w:r>
        <w:drawing>
          <wp:inline distT="0" distB="0" distL="114300" distR="114300">
            <wp:extent cx="5268595" cy="4504690"/>
            <wp:effectExtent l="0" t="0" r="8255" b="1016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a:stretch>
                      <a:fillRect/>
                    </a:stretch>
                  </pic:blipFill>
                  <pic:spPr>
                    <a:xfrm>
                      <a:off x="0" y="0"/>
                      <a:ext cx="5268595" cy="4504690"/>
                    </a:xfrm>
                    <a:prstGeom prst="rect">
                      <a:avLst/>
                    </a:prstGeom>
                    <a:noFill/>
                    <a:ln>
                      <a:noFill/>
                    </a:ln>
                  </pic:spPr>
                </pic:pic>
              </a:graphicData>
            </a:graphic>
          </wp:inline>
        </w:drawing>
      </w:r>
      <w:r>
        <w:drawing>
          <wp:inline distT="0" distB="0" distL="114300" distR="114300">
            <wp:extent cx="5269230" cy="4485640"/>
            <wp:effectExtent l="0" t="0" r="7620" b="1016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a:stretch>
                      <a:fillRect/>
                    </a:stretch>
                  </pic:blipFill>
                  <pic:spPr>
                    <a:xfrm>
                      <a:off x="0" y="0"/>
                      <a:ext cx="5269230" cy="4485640"/>
                    </a:xfrm>
                    <a:prstGeom prst="rect">
                      <a:avLst/>
                    </a:prstGeom>
                    <a:noFill/>
                    <a:ln>
                      <a:noFill/>
                    </a:ln>
                  </pic:spPr>
                </pic:pic>
              </a:graphicData>
            </a:graphic>
          </wp:inline>
        </w:drawing>
      </w:r>
      <w:r>
        <w:drawing>
          <wp:inline distT="0" distB="0" distL="114300" distR="114300">
            <wp:extent cx="5272405" cy="5915025"/>
            <wp:effectExtent l="0" t="0" r="444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5272405" cy="5915025"/>
                    </a:xfrm>
                    <a:prstGeom prst="rect">
                      <a:avLst/>
                    </a:prstGeom>
                    <a:noFill/>
                    <a:ln>
                      <a:noFill/>
                    </a:ln>
                  </pic:spPr>
                </pic:pic>
              </a:graphicData>
            </a:graphic>
          </wp:inline>
        </w:drawing>
      </w:r>
      <w:r>
        <w:drawing>
          <wp:inline distT="0" distB="0" distL="114300" distR="114300">
            <wp:extent cx="5048250" cy="52006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5048250" cy="5200650"/>
                    </a:xfrm>
                    <a:prstGeom prst="rect">
                      <a:avLst/>
                    </a:prstGeom>
                    <a:noFill/>
                    <a:ln>
                      <a:noFill/>
                    </a:ln>
                  </pic:spPr>
                </pic:pic>
              </a:graphicData>
            </a:graphic>
          </wp:inline>
        </w:drawing>
      </w:r>
    </w:p>
    <w:p/>
    <w:p/>
    <w:p/>
    <w:p>
      <w:r>
        <w:drawing>
          <wp:inline distT="0" distB="0" distL="114300" distR="114300">
            <wp:extent cx="5267960" cy="1311910"/>
            <wp:effectExtent l="0" t="0" r="8890" b="254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5267960" cy="1311910"/>
                    </a:xfrm>
                    <a:prstGeom prst="rect">
                      <a:avLst/>
                    </a:prstGeom>
                    <a:noFill/>
                    <a:ln>
                      <a:noFill/>
                    </a:ln>
                  </pic:spPr>
                </pic:pic>
              </a:graphicData>
            </a:graphic>
          </wp:inline>
        </w:drawing>
      </w:r>
      <w:r>
        <w:drawing>
          <wp:inline distT="0" distB="0" distL="114300" distR="114300">
            <wp:extent cx="5271135" cy="1964055"/>
            <wp:effectExtent l="0" t="0" r="5715" b="1714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2"/>
                    <a:stretch>
                      <a:fillRect/>
                    </a:stretch>
                  </pic:blipFill>
                  <pic:spPr>
                    <a:xfrm>
                      <a:off x="0" y="0"/>
                      <a:ext cx="5271135" cy="1964055"/>
                    </a:xfrm>
                    <a:prstGeom prst="rect">
                      <a:avLst/>
                    </a:prstGeom>
                    <a:noFill/>
                    <a:ln>
                      <a:noFill/>
                    </a:ln>
                  </pic:spPr>
                </pic:pic>
              </a:graphicData>
            </a:graphic>
          </wp:inline>
        </w:drawing>
      </w:r>
    </w:p>
    <w:p/>
    <w:p/>
    <w:p/>
    <w:p/>
    <w:p/>
    <w:p>
      <w:r>
        <w:drawing>
          <wp:inline distT="0" distB="0" distL="114300" distR="114300">
            <wp:extent cx="5272405" cy="3096895"/>
            <wp:effectExtent l="0" t="0" r="4445" b="8255"/>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3"/>
                    <a:stretch>
                      <a:fillRect/>
                    </a:stretch>
                  </pic:blipFill>
                  <pic:spPr>
                    <a:xfrm>
                      <a:off x="0" y="0"/>
                      <a:ext cx="5272405" cy="3096895"/>
                    </a:xfrm>
                    <a:prstGeom prst="rect">
                      <a:avLst/>
                    </a:prstGeom>
                    <a:noFill/>
                    <a:ln>
                      <a:noFill/>
                    </a:ln>
                  </pic:spPr>
                </pic:pic>
              </a:graphicData>
            </a:graphic>
          </wp:inline>
        </w:drawing>
      </w:r>
    </w:p>
    <w:p>
      <w:pPr>
        <w:widowControl/>
        <w:spacing w:line="600" w:lineRule="exact"/>
        <w:ind w:firstLine="640"/>
        <w:jc w:val="center"/>
      </w:pPr>
    </w:p>
    <w:p>
      <w:pPr>
        <w:widowControl/>
        <w:spacing w:line="600" w:lineRule="exact"/>
        <w:ind w:firstLine="640"/>
        <w:jc w:val="center"/>
      </w:pPr>
    </w:p>
    <w:p>
      <w:pPr>
        <w:widowControl/>
        <w:spacing w:line="600" w:lineRule="exact"/>
        <w:ind w:firstLine="640"/>
        <w:jc w:val="center"/>
      </w:pPr>
    </w:p>
    <w:p>
      <w:pPr>
        <w:widowControl/>
        <w:spacing w:line="600" w:lineRule="exact"/>
        <w:ind w:firstLine="640"/>
        <w:jc w:val="center"/>
      </w:pPr>
    </w:p>
    <w:p>
      <w:pPr>
        <w:widowControl/>
        <w:spacing w:line="600" w:lineRule="exact"/>
        <w:ind w:firstLine="640"/>
        <w:jc w:val="center"/>
      </w:pPr>
    </w:p>
    <w:p>
      <w:pPr>
        <w:widowControl/>
        <w:spacing w:line="600" w:lineRule="exact"/>
        <w:ind w:firstLine="640"/>
        <w:jc w:val="center"/>
      </w:pPr>
    </w:p>
    <w:p>
      <w:pPr>
        <w:widowControl/>
        <w:spacing w:line="600" w:lineRule="exact"/>
        <w:ind w:firstLine="640"/>
        <w:jc w:val="center"/>
      </w:pPr>
    </w:p>
    <w:p>
      <w:pPr>
        <w:widowControl/>
        <w:spacing w:line="600" w:lineRule="exact"/>
        <w:ind w:firstLine="640"/>
        <w:jc w:val="center"/>
      </w:pPr>
    </w:p>
    <w:p>
      <w:pPr>
        <w:widowControl/>
        <w:spacing w:line="600" w:lineRule="exact"/>
        <w:ind w:firstLine="640"/>
        <w:jc w:val="center"/>
      </w:pPr>
    </w:p>
    <w:p>
      <w:pPr>
        <w:widowControl/>
        <w:spacing w:line="600" w:lineRule="exact"/>
        <w:ind w:firstLine="1606" w:firstLineChars="500"/>
        <w:jc w:val="both"/>
        <w:rPr>
          <w:rFonts w:hint="eastAsia" w:ascii="宋体" w:hAnsi="宋体"/>
          <w:b/>
          <w:sz w:val="32"/>
          <w:szCs w:val="32"/>
        </w:rPr>
      </w:pPr>
      <w:r>
        <w:rPr>
          <w:rFonts w:hint="eastAsia" w:ascii="宋体" w:hAnsi="宋体"/>
          <w:b/>
          <w:sz w:val="32"/>
          <w:szCs w:val="32"/>
        </w:rPr>
        <w:t>第三部分  2021年度</w:t>
      </w:r>
      <w:r>
        <w:rPr>
          <w:rFonts w:hint="eastAsia" w:ascii="宋体" w:hAnsi="宋体"/>
          <w:b/>
          <w:sz w:val="32"/>
          <w:szCs w:val="32"/>
          <w:lang w:eastAsia="zh-CN"/>
        </w:rPr>
        <w:t>单位</w:t>
      </w:r>
      <w:r>
        <w:rPr>
          <w:rFonts w:hint="eastAsia" w:ascii="宋体" w:hAnsi="宋体"/>
          <w:b/>
          <w:sz w:val="32"/>
          <w:szCs w:val="32"/>
        </w:rPr>
        <w:t>决算情况说明</w:t>
      </w:r>
    </w:p>
    <w:p>
      <w:pPr>
        <w:ind w:firstLine="630"/>
        <w:jc w:val="left"/>
        <w:rPr>
          <w:rFonts w:hint="eastAsia" w:ascii="仿宋" w:hAnsi="仿宋" w:eastAsia="仿宋"/>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一、收入决算情况说明</w:t>
      </w:r>
    </w:p>
    <w:p>
      <w:pPr>
        <w:ind w:firstLine="630"/>
        <w:jc w:val="left"/>
        <w:rPr>
          <w:rFonts w:hint="eastAsia" w:ascii="仿宋" w:hAnsi="仿宋" w:eastAsia="仿宋"/>
          <w:sz w:val="30"/>
          <w:szCs w:val="30"/>
        </w:rPr>
      </w:pPr>
      <w:r>
        <w:rPr>
          <w:rFonts w:hint="eastAsia" w:ascii="仿宋" w:hAnsi="仿宋" w:eastAsia="仿宋"/>
          <w:sz w:val="30"/>
          <w:szCs w:val="30"/>
        </w:rPr>
        <w:t>本单位2021年度收入总计8814.19万元，其中年初结转和结余1733.26万元，较2020年减少2172.68万元，下降56%；本年收入合计7080.94万元，较2020年减少1461.23万元，下降17%，主要原因是：随着校园基础设施设备建设的完善，项目支出减少；教师及学生人数的减少。</w:t>
      </w:r>
    </w:p>
    <w:p>
      <w:pPr>
        <w:ind w:firstLine="630"/>
        <w:jc w:val="left"/>
        <w:rPr>
          <w:rFonts w:hint="eastAsia" w:ascii="仿宋" w:hAnsi="仿宋" w:eastAsia="仿宋"/>
          <w:sz w:val="30"/>
          <w:szCs w:val="30"/>
        </w:rPr>
      </w:pPr>
      <w:r>
        <w:rPr>
          <w:rFonts w:hint="eastAsia" w:ascii="仿宋" w:hAnsi="仿宋" w:eastAsia="仿宋"/>
          <w:sz w:val="30"/>
          <w:szCs w:val="30"/>
        </w:rPr>
        <w:t xml:space="preserve">本年收入的具体构成为：财政拨款收入5739.26万元，占81%；事业收入1341.68万元，占19%；经营收入0万元，占0%；其他收入0万元，占0%。  </w:t>
      </w:r>
    </w:p>
    <w:p>
      <w:pPr>
        <w:ind w:firstLine="630"/>
        <w:jc w:val="left"/>
        <w:rPr>
          <w:rFonts w:hint="eastAsia" w:ascii="黑体" w:hAnsi="黑体" w:eastAsia="黑体"/>
          <w:sz w:val="30"/>
          <w:szCs w:val="30"/>
        </w:rPr>
      </w:pPr>
      <w:r>
        <w:rPr>
          <w:rFonts w:hint="eastAsia" w:ascii="黑体" w:hAnsi="黑体" w:eastAsia="黑体"/>
          <w:sz w:val="30"/>
          <w:szCs w:val="30"/>
        </w:rPr>
        <w:t>二、支出决算情况说明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本单位2021年度支出总计8814.19万元，其中本年支出合计8814.19万元，较2020年减少3633.92万元，下降29.19%，主要原因是：随着校园基础设施设备建设的完善，项目支出减少；教师及学生人数的减少。</w:t>
      </w:r>
    </w:p>
    <w:p>
      <w:pPr>
        <w:ind w:firstLine="630"/>
        <w:jc w:val="left"/>
        <w:rPr>
          <w:rFonts w:hint="eastAsia" w:ascii="仿宋" w:hAnsi="仿宋" w:eastAsia="仿宋"/>
          <w:sz w:val="30"/>
          <w:szCs w:val="30"/>
        </w:rPr>
      </w:pPr>
      <w:r>
        <w:rPr>
          <w:rFonts w:hint="eastAsia" w:ascii="仿宋" w:hAnsi="仿宋" w:eastAsia="仿宋"/>
          <w:sz w:val="30"/>
          <w:szCs w:val="30"/>
        </w:rPr>
        <w:t>本年支出的具体构成为：基本支出8058.417万元，占91.43%；项目支出755.79万元，占8.57%；经营支出0万元，占0%；其他支出（对附属单位补助支出、上缴上级支出）0万元，占0%。</w:t>
      </w:r>
    </w:p>
    <w:p>
      <w:pPr>
        <w:ind w:firstLine="630"/>
        <w:jc w:val="left"/>
        <w:rPr>
          <w:rFonts w:hint="eastAsia"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本单位2021年度财政拨款本年支出年初预算数为6581.89万元，决算数为7472.52万元，完成年初预算的113%。其中：</w:t>
      </w:r>
    </w:p>
    <w:p>
      <w:pPr>
        <w:ind w:firstLine="585"/>
        <w:jc w:val="left"/>
        <w:rPr>
          <w:rFonts w:hint="eastAsia" w:ascii="仿宋" w:hAnsi="仿宋" w:eastAsia="仿宋"/>
          <w:sz w:val="30"/>
          <w:szCs w:val="30"/>
        </w:rPr>
      </w:pPr>
      <w:r>
        <w:rPr>
          <w:rFonts w:hint="eastAsia" w:ascii="仿宋" w:hAnsi="仿宋" w:eastAsia="仿宋"/>
          <w:sz w:val="30"/>
          <w:szCs w:val="30"/>
        </w:rPr>
        <w:t>（一）教育支出年初预算数为5173.76万元，决算数为6198.36万元，完成年初预算的119%。主要原因是：</w:t>
      </w:r>
      <w:r>
        <w:rPr>
          <w:rFonts w:hint="eastAsia" w:ascii="仿宋" w:hAnsi="仿宋" w:eastAsia="仿宋"/>
          <w:sz w:val="30"/>
          <w:szCs w:val="30"/>
          <w:lang w:val="en-US" w:eastAsia="zh-CN"/>
        </w:rPr>
        <w:t>为了提高办学条件及教学质量，</w:t>
      </w:r>
      <w:r>
        <w:rPr>
          <w:rFonts w:hint="eastAsia" w:ascii="仿宋" w:hAnsi="仿宋" w:eastAsia="仿宋"/>
          <w:sz w:val="30"/>
          <w:szCs w:val="30"/>
        </w:rPr>
        <w:t>提高教师待遇。</w:t>
      </w:r>
    </w:p>
    <w:p>
      <w:pPr>
        <w:ind w:firstLine="630"/>
        <w:jc w:val="left"/>
        <w:rPr>
          <w:rFonts w:hint="eastAsia" w:ascii="仿宋" w:hAnsi="仿宋" w:eastAsia="仿宋"/>
          <w:sz w:val="30"/>
          <w:szCs w:val="30"/>
        </w:rPr>
      </w:pPr>
      <w:r>
        <w:rPr>
          <w:rFonts w:hint="eastAsia" w:ascii="仿宋" w:hAnsi="仿宋" w:eastAsia="仿宋"/>
          <w:sz w:val="30"/>
          <w:szCs w:val="30"/>
        </w:rPr>
        <w:t>（二）社会保障和就业支出支出年初预算数为446.61万元，决算数为545.33万元，完成年初预算的122%，主要原因是：社保基数</w:t>
      </w:r>
      <w:r>
        <w:rPr>
          <w:rFonts w:hint="eastAsia" w:ascii="仿宋" w:hAnsi="仿宋" w:eastAsia="仿宋"/>
          <w:sz w:val="30"/>
          <w:szCs w:val="30"/>
          <w:lang w:val="en-US" w:eastAsia="zh-CN"/>
        </w:rPr>
        <w:t>进行了</w:t>
      </w:r>
      <w:r>
        <w:rPr>
          <w:rFonts w:hint="eastAsia" w:ascii="仿宋" w:hAnsi="仿宋" w:eastAsia="仿宋"/>
          <w:sz w:val="30"/>
          <w:szCs w:val="30"/>
        </w:rPr>
        <w:t>调整。</w:t>
      </w:r>
    </w:p>
    <w:p>
      <w:pPr>
        <w:ind w:firstLine="585"/>
        <w:jc w:val="left"/>
        <w:rPr>
          <w:rFonts w:hint="eastAsia" w:ascii="仿宋" w:hAnsi="仿宋" w:eastAsia="仿宋"/>
          <w:sz w:val="30"/>
          <w:szCs w:val="30"/>
        </w:rPr>
      </w:pPr>
      <w:r>
        <w:rPr>
          <w:rFonts w:hint="eastAsia" w:ascii="仿宋" w:hAnsi="仿宋" w:eastAsia="仿宋"/>
          <w:sz w:val="30"/>
          <w:szCs w:val="30"/>
        </w:rPr>
        <w:t>（三）卫生健康支出年初预算数为468.11万元，决算数为429.78万元，完成年初预算的91%，主要原因是：</w:t>
      </w:r>
      <w:r>
        <w:rPr>
          <w:rFonts w:hint="eastAsia" w:ascii="仿宋" w:hAnsi="仿宋" w:eastAsia="仿宋"/>
          <w:sz w:val="30"/>
          <w:szCs w:val="30"/>
          <w:lang w:val="en-US" w:eastAsia="zh-CN"/>
        </w:rPr>
        <w:t>人员减少</w:t>
      </w:r>
      <w:r>
        <w:rPr>
          <w:rFonts w:hint="eastAsia" w:ascii="仿宋" w:hAnsi="仿宋" w:eastAsia="仿宋"/>
          <w:sz w:val="30"/>
          <w:szCs w:val="30"/>
        </w:rPr>
        <w:t>。</w:t>
      </w:r>
    </w:p>
    <w:p>
      <w:pPr>
        <w:ind w:firstLine="585"/>
        <w:jc w:val="left"/>
        <w:rPr>
          <w:rFonts w:ascii="仿宋" w:hAnsi="仿宋" w:eastAsia="仿宋"/>
          <w:sz w:val="30"/>
          <w:szCs w:val="30"/>
        </w:rPr>
      </w:pPr>
      <w:r>
        <w:rPr>
          <w:rFonts w:hint="eastAsia" w:ascii="仿宋" w:hAnsi="仿宋" w:eastAsia="仿宋"/>
          <w:sz w:val="30"/>
          <w:szCs w:val="30"/>
        </w:rPr>
        <w:t>（四）住房保障支出支出年初预算数为493.41万元，决算数为299.05万元，完成年初预算的60%，主要原因是：</w:t>
      </w:r>
      <w:r>
        <w:rPr>
          <w:rFonts w:hint="eastAsia" w:ascii="仿宋" w:hAnsi="仿宋" w:eastAsia="仿宋"/>
          <w:sz w:val="30"/>
          <w:szCs w:val="30"/>
          <w:lang w:val="en-US" w:eastAsia="zh-CN"/>
        </w:rPr>
        <w:t>人员减少</w:t>
      </w:r>
      <w:r>
        <w:rPr>
          <w:rFonts w:hint="eastAsia" w:ascii="仿宋" w:hAnsi="仿宋" w:eastAsia="仿宋"/>
          <w:sz w:val="30"/>
          <w:szCs w:val="30"/>
        </w:rPr>
        <w:t>。</w:t>
      </w:r>
    </w:p>
    <w:p>
      <w:pPr>
        <w:ind w:firstLine="585"/>
        <w:jc w:val="left"/>
        <w:rPr>
          <w:rFonts w:hint="eastAsia" w:ascii="黑体" w:hAnsi="黑体" w:eastAsia="黑体"/>
          <w:sz w:val="30"/>
          <w:szCs w:val="30"/>
        </w:rPr>
      </w:pPr>
      <w:r>
        <w:rPr>
          <w:rFonts w:hint="eastAsia" w:ascii="黑体" w:hAnsi="黑体" w:eastAsia="黑体"/>
          <w:sz w:val="30"/>
          <w:szCs w:val="30"/>
        </w:rPr>
        <w:t>四、一般公共预算财政拨款基本支出决算情况说明</w:t>
      </w:r>
    </w:p>
    <w:p>
      <w:pPr>
        <w:ind w:firstLine="585"/>
        <w:jc w:val="left"/>
        <w:rPr>
          <w:rFonts w:hint="eastAsia" w:ascii="仿宋" w:hAnsi="仿宋" w:eastAsia="仿宋"/>
          <w:sz w:val="30"/>
          <w:szCs w:val="30"/>
        </w:rPr>
      </w:pPr>
      <w:r>
        <w:rPr>
          <w:rFonts w:hint="eastAsia" w:ascii="仿宋" w:hAnsi="仿宋" w:eastAsia="仿宋"/>
          <w:sz w:val="30"/>
          <w:szCs w:val="30"/>
        </w:rPr>
        <w:t>本单位2021年度一般公共预算财政拨款基本支出7472.52万元，其中：</w:t>
      </w:r>
    </w:p>
    <w:p>
      <w:pPr>
        <w:ind w:firstLine="585"/>
        <w:jc w:val="left"/>
        <w:rPr>
          <w:rFonts w:hint="eastAsia" w:ascii="仿宋" w:hAnsi="仿宋" w:eastAsia="仿宋"/>
          <w:sz w:val="30"/>
          <w:szCs w:val="30"/>
        </w:rPr>
      </w:pPr>
      <w:r>
        <w:rPr>
          <w:rFonts w:hint="eastAsia" w:ascii="仿宋" w:hAnsi="仿宋" w:eastAsia="仿宋"/>
          <w:sz w:val="30"/>
          <w:szCs w:val="30"/>
        </w:rPr>
        <w:t>（一）工资福利支出5940.9万元，较2020年减少305.4万元，下降4.9%，主要原因是：</w:t>
      </w:r>
      <w:r>
        <w:rPr>
          <w:rFonts w:hint="eastAsia" w:ascii="仿宋" w:hAnsi="仿宋" w:eastAsia="仿宋"/>
          <w:sz w:val="30"/>
          <w:szCs w:val="30"/>
          <w:lang w:val="en-US" w:eastAsia="zh-CN"/>
        </w:rPr>
        <w:t>人员减少</w:t>
      </w:r>
      <w:r>
        <w:rPr>
          <w:rFonts w:hint="eastAsia" w:ascii="仿宋" w:hAnsi="仿宋" w:eastAsia="仿宋"/>
          <w:sz w:val="30"/>
          <w:szCs w:val="30"/>
        </w:rPr>
        <w:t>。</w:t>
      </w:r>
    </w:p>
    <w:p>
      <w:pPr>
        <w:ind w:firstLine="585"/>
        <w:jc w:val="left"/>
        <w:rPr>
          <w:rFonts w:ascii="仿宋" w:hAnsi="仿宋" w:eastAsia="仿宋"/>
          <w:sz w:val="30"/>
          <w:szCs w:val="30"/>
        </w:rPr>
      </w:pPr>
      <w:r>
        <w:rPr>
          <w:rFonts w:hint="eastAsia" w:ascii="仿宋" w:hAnsi="仿宋" w:eastAsia="仿宋"/>
          <w:sz w:val="30"/>
          <w:szCs w:val="30"/>
        </w:rPr>
        <w:t>（二）商品和服务支出668.06万元，较2020年增长79.27万元，增长13.5%，主要原因是：提高教学质量、改善教</w:t>
      </w:r>
      <w:r>
        <w:rPr>
          <w:rFonts w:hint="eastAsia" w:ascii="仿宋" w:hAnsi="仿宋" w:eastAsia="仿宋"/>
          <w:sz w:val="30"/>
          <w:szCs w:val="30"/>
          <w:lang w:val="en-US" w:eastAsia="zh-CN"/>
        </w:rPr>
        <w:t>学</w:t>
      </w:r>
      <w:r>
        <w:rPr>
          <w:rFonts w:hint="eastAsia" w:ascii="仿宋" w:hAnsi="仿宋" w:eastAsia="仿宋"/>
          <w:sz w:val="30"/>
          <w:szCs w:val="30"/>
        </w:rPr>
        <w:t>环境。</w:t>
      </w:r>
    </w:p>
    <w:p>
      <w:pPr>
        <w:ind w:firstLine="585"/>
        <w:jc w:val="left"/>
        <w:rPr>
          <w:rFonts w:hint="eastAsia" w:ascii="仿宋" w:hAnsi="仿宋" w:eastAsia="仿宋"/>
          <w:sz w:val="30"/>
          <w:szCs w:val="30"/>
        </w:rPr>
      </w:pPr>
      <w:r>
        <w:rPr>
          <w:rFonts w:hint="eastAsia" w:ascii="仿宋" w:hAnsi="仿宋" w:eastAsia="仿宋"/>
          <w:sz w:val="30"/>
          <w:szCs w:val="30"/>
        </w:rPr>
        <w:t>（三）对个人和家庭补助支出42.77万元，较2020年减少3</w:t>
      </w:r>
      <w:r>
        <w:rPr>
          <w:rFonts w:hint="eastAsia" w:ascii="仿宋" w:hAnsi="仿宋" w:eastAsia="仿宋"/>
          <w:sz w:val="30"/>
          <w:szCs w:val="30"/>
          <w:lang w:val="en-US" w:eastAsia="zh-CN"/>
        </w:rPr>
        <w:t>6.56</w:t>
      </w:r>
      <w:r>
        <w:rPr>
          <w:rFonts w:hint="eastAsia" w:ascii="仿宋" w:hAnsi="仿宋" w:eastAsia="仿宋"/>
          <w:sz w:val="30"/>
          <w:szCs w:val="30"/>
        </w:rPr>
        <w:t>万元，下降46.1%，主要原因是：</w:t>
      </w:r>
      <w:r>
        <w:rPr>
          <w:rFonts w:hint="eastAsia" w:ascii="仿宋" w:hAnsi="仿宋" w:eastAsia="仿宋"/>
          <w:sz w:val="30"/>
          <w:szCs w:val="30"/>
          <w:lang w:val="en-US" w:eastAsia="zh-CN"/>
        </w:rPr>
        <w:t>人员</w:t>
      </w:r>
      <w:r>
        <w:rPr>
          <w:rFonts w:hint="eastAsia" w:ascii="仿宋" w:hAnsi="仿宋" w:eastAsia="仿宋"/>
          <w:sz w:val="30"/>
          <w:szCs w:val="30"/>
        </w:rPr>
        <w:t>减少。</w:t>
      </w:r>
    </w:p>
    <w:p>
      <w:pPr>
        <w:ind w:firstLine="585"/>
        <w:jc w:val="left"/>
        <w:rPr>
          <w:rFonts w:hint="eastAsia" w:ascii="仿宋" w:hAnsi="仿宋" w:eastAsia="仿宋"/>
          <w:sz w:val="30"/>
          <w:szCs w:val="30"/>
        </w:rPr>
      </w:pPr>
      <w:r>
        <w:rPr>
          <w:rFonts w:hint="eastAsia" w:ascii="仿宋" w:hAnsi="仿宋" w:eastAsia="仿宋"/>
          <w:sz w:val="30"/>
          <w:szCs w:val="30"/>
        </w:rPr>
        <w:t>（四）资本性支出820.79元，较2020年增加610.9万元，增长2.91倍%，主要原因是：</w:t>
      </w:r>
      <w:r>
        <w:rPr>
          <w:rFonts w:hint="eastAsia" w:ascii="仿宋" w:hAnsi="仿宋" w:eastAsia="仿宋"/>
          <w:sz w:val="30"/>
          <w:szCs w:val="30"/>
          <w:lang w:val="en-US" w:eastAsia="zh-CN"/>
        </w:rPr>
        <w:t>为提高教学环境，</w:t>
      </w:r>
      <w:r>
        <w:rPr>
          <w:rFonts w:hint="eastAsia" w:ascii="仿宋" w:hAnsi="仿宋" w:eastAsia="仿宋"/>
          <w:sz w:val="30"/>
          <w:szCs w:val="30"/>
        </w:rPr>
        <w:t>校园改造项目增加。</w:t>
      </w:r>
    </w:p>
    <w:p>
      <w:pPr>
        <w:ind w:firstLine="630"/>
        <w:jc w:val="left"/>
        <w:rPr>
          <w:rFonts w:hint="eastAsia" w:ascii="黑体" w:hAnsi="黑体" w:eastAsia="黑体"/>
          <w:sz w:val="30"/>
          <w:szCs w:val="30"/>
        </w:rPr>
      </w:pPr>
      <w:r>
        <w:rPr>
          <w:rFonts w:hint="eastAsia" w:ascii="黑体" w:hAnsi="黑体" w:eastAsia="黑体"/>
          <w:sz w:val="30"/>
          <w:szCs w:val="30"/>
        </w:rPr>
        <w:t>五、“三公”经费支出决算情况说明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本单位2021年度“三公”经费支出年初预算数为14.50万元，决算数为0.78万元，完成预算的5%，决算数较2020年减少4.27万元，下降84%，其中：</w:t>
      </w:r>
    </w:p>
    <w:p>
      <w:pPr>
        <w:numPr>
          <w:ilvl w:val="0"/>
          <w:numId w:val="3"/>
        </w:numPr>
        <w:ind w:firstLine="630"/>
        <w:jc w:val="left"/>
        <w:rPr>
          <w:rFonts w:hint="eastAsia" w:ascii="仿宋" w:hAnsi="仿宋" w:eastAsia="仿宋"/>
          <w:sz w:val="30"/>
          <w:szCs w:val="30"/>
        </w:rPr>
      </w:pPr>
      <w:r>
        <w:rPr>
          <w:rFonts w:hint="eastAsia" w:ascii="仿宋" w:hAnsi="仿宋" w:eastAsia="仿宋"/>
          <w:sz w:val="30"/>
          <w:szCs w:val="30"/>
        </w:rPr>
        <w:t>因公出国（境）支出年初预算数为4.5万元，决算数为0万元，完成预算的0%，决算数较2020年增加（减少）0万元，增长（下降）0%，主要原因是无因公出（国）境支出。决算数较年初预算数增加（减少）的主要原因是：无因公出（国）境支出。全年安排因公出国（境）团组0个，累计0人次，主要为：无因公出（国）境支出。</w:t>
      </w:r>
    </w:p>
    <w:p>
      <w:pPr>
        <w:numPr>
          <w:ilvl w:val="0"/>
          <w:numId w:val="3"/>
        </w:numPr>
        <w:ind w:firstLine="630"/>
        <w:jc w:val="left"/>
        <w:rPr>
          <w:rFonts w:ascii="仿宋" w:hAnsi="仿宋" w:eastAsia="仿宋"/>
          <w:sz w:val="30"/>
          <w:szCs w:val="30"/>
        </w:rPr>
      </w:pPr>
      <w:r>
        <w:rPr>
          <w:rFonts w:hint="eastAsia" w:ascii="仿宋" w:hAnsi="仿宋" w:eastAsia="仿宋"/>
          <w:sz w:val="30"/>
          <w:szCs w:val="30"/>
        </w:rPr>
        <w:t>公务接待费支出年初预算数为10万元，决算数为0.78万元，完成预算的7%，决算数较2020年减少4.27万元，下降84%，主要原因是厉行节约，严格控制三公经费开支。决算数较年初预算数减少的主要原因是：厉行节约，严格控制三公经费开支。全年国内公务接待25批，累计接待976人次，其中外事接待0批，累计接待0人次。</w:t>
      </w:r>
    </w:p>
    <w:p>
      <w:pPr>
        <w:ind w:firstLine="630"/>
        <w:jc w:val="left"/>
        <w:rPr>
          <w:rFonts w:hint="default" w:ascii="仿宋" w:hAnsi="仿宋" w:eastAsia="仿宋"/>
          <w:sz w:val="30"/>
          <w:szCs w:val="30"/>
          <w:highlight w:val="yellow"/>
          <w:lang w:val="en-US" w:eastAsia="zh-CN"/>
        </w:rPr>
      </w:pPr>
      <w:r>
        <w:rPr>
          <w:rFonts w:hint="eastAsia" w:ascii="仿宋" w:hAnsi="仿宋" w:eastAsia="仿宋"/>
          <w:sz w:val="30"/>
          <w:szCs w:val="30"/>
        </w:rPr>
        <w:t>（三）公务用车购置及运行维护费支出0万元，其中公务用车购置年初预算数为0万元，决算数为0万元，决算数较2019年增加（减少）0万元，增长（下降）0 %。</w:t>
      </w:r>
      <w:r>
        <w:rPr>
          <w:rFonts w:hint="eastAsia" w:ascii="仿宋" w:hAnsi="仿宋" w:eastAsia="仿宋"/>
          <w:sz w:val="30"/>
          <w:szCs w:val="30"/>
          <w:lang w:val="en-US" w:eastAsia="zh-CN"/>
        </w:rPr>
        <w:t>主要原因：车辆已经拍卖处置，无车辆。</w:t>
      </w:r>
      <w:r>
        <w:rPr>
          <w:rFonts w:hint="eastAsia" w:ascii="仿宋" w:hAnsi="仿宋" w:eastAsia="仿宋"/>
          <w:sz w:val="30"/>
          <w:szCs w:val="30"/>
        </w:rPr>
        <w:t>全年购置公务用车0辆。公务用车运行维护费支出年初预算数为 0 万元，决算数为0万元，决算数较2019年增加（减少）0万元，增长（下降）0%，车辆已经拍卖处置</w:t>
      </w:r>
      <w:r>
        <w:rPr>
          <w:rFonts w:hint="eastAsia" w:ascii="仿宋" w:hAnsi="仿宋" w:eastAsia="仿宋"/>
          <w:sz w:val="30"/>
          <w:szCs w:val="30"/>
          <w:lang w:eastAsia="zh-CN"/>
        </w:rPr>
        <w:t>，</w:t>
      </w:r>
      <w:r>
        <w:rPr>
          <w:rFonts w:hint="eastAsia" w:ascii="仿宋" w:hAnsi="仿宋" w:eastAsia="仿宋"/>
          <w:sz w:val="30"/>
          <w:szCs w:val="30"/>
          <w:lang w:val="en-US" w:eastAsia="zh-CN"/>
        </w:rPr>
        <w:t>无车辆。</w:t>
      </w:r>
      <w:r>
        <w:rPr>
          <w:rFonts w:hint="eastAsia" w:ascii="仿宋" w:hAnsi="仿宋" w:eastAsia="仿宋"/>
          <w:sz w:val="30"/>
          <w:szCs w:val="30"/>
        </w:rPr>
        <w:t>年末公务用车保有0辆。</w:t>
      </w:r>
    </w:p>
    <w:p>
      <w:pPr>
        <w:ind w:firstLine="630"/>
        <w:jc w:val="left"/>
        <w:rPr>
          <w:rFonts w:hint="eastAsia" w:ascii="黑体" w:hAnsi="黑体" w:eastAsia="黑体"/>
          <w:sz w:val="30"/>
          <w:szCs w:val="30"/>
        </w:rPr>
      </w:pPr>
      <w:r>
        <w:rPr>
          <w:rFonts w:hint="eastAsia" w:ascii="黑体" w:hAnsi="黑体" w:eastAsia="黑体"/>
          <w:sz w:val="30"/>
          <w:szCs w:val="30"/>
        </w:rPr>
        <w:t>六、机关运行经费支出情况说明</w:t>
      </w:r>
    </w:p>
    <w:p>
      <w:pPr>
        <w:ind w:firstLine="630"/>
        <w:jc w:val="left"/>
        <w:rPr>
          <w:rFonts w:ascii="仿宋" w:hAnsi="仿宋" w:eastAsia="仿宋"/>
          <w:sz w:val="30"/>
          <w:szCs w:val="30"/>
        </w:rPr>
      </w:pPr>
      <w:r>
        <w:rPr>
          <w:rFonts w:hint="eastAsia" w:ascii="仿宋" w:hAnsi="仿宋" w:eastAsia="仿宋"/>
          <w:sz w:val="30"/>
          <w:szCs w:val="30"/>
        </w:rPr>
        <w:t>本单位2020年度无机关运行经费支出。</w:t>
      </w:r>
    </w:p>
    <w:p>
      <w:pPr>
        <w:ind w:firstLine="630"/>
        <w:jc w:val="left"/>
        <w:rPr>
          <w:rFonts w:ascii="黑体" w:hAnsi="黑体" w:eastAsia="黑体"/>
          <w:sz w:val="30"/>
          <w:szCs w:val="30"/>
        </w:rPr>
      </w:pPr>
      <w:r>
        <w:rPr>
          <w:rFonts w:hint="eastAsia" w:ascii="黑体" w:hAnsi="黑体" w:eastAsia="黑体"/>
          <w:sz w:val="30"/>
          <w:szCs w:val="30"/>
        </w:rPr>
        <w:t>七、政府采购支出情况说明</w:t>
      </w:r>
    </w:p>
    <w:p>
      <w:pPr>
        <w:ind w:firstLine="630"/>
        <w:jc w:val="left"/>
        <w:rPr>
          <w:rFonts w:hint="eastAsia" w:ascii="仿宋" w:hAnsi="仿宋" w:eastAsia="仿宋"/>
          <w:sz w:val="30"/>
          <w:szCs w:val="30"/>
        </w:rPr>
      </w:pPr>
      <w:r>
        <w:rPr>
          <w:rFonts w:hint="eastAsia" w:ascii="仿宋_GB2312" w:hAnsi="仿宋_GB2312" w:eastAsia="仿宋_GB2312"/>
          <w:sz w:val="30"/>
          <w:szCs w:val="30"/>
        </w:rPr>
        <w:t>本</w:t>
      </w:r>
      <w:r>
        <w:rPr>
          <w:rFonts w:hint="eastAsia" w:ascii="仿宋_GB2312" w:hAnsi="仿宋_GB2312" w:eastAsia="仿宋_GB2312"/>
          <w:sz w:val="30"/>
          <w:szCs w:val="30"/>
          <w:lang w:val="en-US" w:eastAsia="zh-CN"/>
        </w:rPr>
        <w:t>单位</w:t>
      </w:r>
      <w:r>
        <w:rPr>
          <w:rFonts w:hint="eastAsia" w:ascii="仿宋_GB2312" w:hAnsi="仿宋_GB2312" w:eastAsia="仿宋_GB2312"/>
          <w:sz w:val="30"/>
          <w:szCs w:val="30"/>
        </w:rPr>
        <w:t>202</w:t>
      </w:r>
      <w:r>
        <w:rPr>
          <w:rFonts w:hint="eastAsia" w:ascii="仿宋_GB2312" w:hAnsi="仿宋_GB2312" w:eastAsia="仿宋_GB2312"/>
          <w:sz w:val="30"/>
          <w:szCs w:val="30"/>
          <w:lang w:val="en-US" w:eastAsia="zh-CN"/>
        </w:rPr>
        <w:t>1</w:t>
      </w:r>
      <w:r>
        <w:rPr>
          <w:rFonts w:hint="eastAsia" w:ascii="仿宋_GB2312" w:hAnsi="仿宋_GB2312" w:eastAsia="仿宋_GB2312"/>
          <w:sz w:val="30"/>
          <w:szCs w:val="30"/>
        </w:rPr>
        <w:t>年度政府采购支出总额</w:t>
      </w:r>
      <w:r>
        <w:rPr>
          <w:rFonts w:hint="eastAsia" w:ascii="仿宋" w:hAnsi="仿宋" w:eastAsia="仿宋"/>
          <w:sz w:val="30"/>
          <w:szCs w:val="30"/>
        </w:rPr>
        <w:t>601.64</w:t>
      </w:r>
      <w:r>
        <w:rPr>
          <w:rFonts w:hint="eastAsia" w:ascii="仿宋_GB2312" w:hAnsi="仿宋_GB2312" w:eastAsia="仿宋_GB2312"/>
          <w:sz w:val="30"/>
          <w:szCs w:val="30"/>
        </w:rPr>
        <w:t xml:space="preserve">万元，其中：政府采购货物支出 </w:t>
      </w:r>
      <w:r>
        <w:rPr>
          <w:rFonts w:hint="eastAsia" w:ascii="仿宋" w:hAnsi="仿宋" w:eastAsia="仿宋"/>
          <w:sz w:val="30"/>
          <w:szCs w:val="30"/>
        </w:rPr>
        <w:t>285.15</w:t>
      </w:r>
      <w:r>
        <w:rPr>
          <w:rFonts w:hint="eastAsia" w:ascii="仿宋_GB2312" w:hAnsi="仿宋_GB2312" w:eastAsia="仿宋_GB2312"/>
          <w:sz w:val="30"/>
          <w:szCs w:val="30"/>
        </w:rPr>
        <w:t xml:space="preserve"> 万元、政府采购工程支出</w:t>
      </w:r>
      <w:r>
        <w:rPr>
          <w:rFonts w:hint="eastAsia" w:ascii="仿宋" w:hAnsi="仿宋" w:eastAsia="仿宋"/>
          <w:sz w:val="30"/>
          <w:szCs w:val="30"/>
        </w:rPr>
        <w:t>192.19</w:t>
      </w:r>
      <w:r>
        <w:rPr>
          <w:rFonts w:hint="eastAsia" w:ascii="仿宋_GB2312" w:hAnsi="仿宋_GB2312" w:eastAsia="仿宋_GB2312"/>
          <w:sz w:val="30"/>
          <w:szCs w:val="30"/>
        </w:rPr>
        <w:t>万元、政府采购服务支出</w:t>
      </w:r>
      <w:r>
        <w:rPr>
          <w:rFonts w:hint="eastAsia" w:ascii="仿宋" w:hAnsi="仿宋" w:eastAsia="仿宋"/>
          <w:sz w:val="30"/>
          <w:szCs w:val="30"/>
        </w:rPr>
        <w:t>124.3</w:t>
      </w:r>
      <w:r>
        <w:rPr>
          <w:rFonts w:hint="eastAsia" w:ascii="仿宋" w:hAnsi="仿宋" w:eastAsia="仿宋"/>
          <w:sz w:val="30"/>
          <w:szCs w:val="30"/>
          <w:lang w:val="en-US" w:eastAsia="zh-CN"/>
        </w:rPr>
        <w:t>0</w:t>
      </w:r>
      <w:r>
        <w:rPr>
          <w:rFonts w:hint="eastAsia" w:ascii="仿宋_GB2312" w:hAnsi="仿宋_GB2312" w:eastAsia="仿宋_GB2312"/>
          <w:sz w:val="30"/>
          <w:szCs w:val="30"/>
        </w:rPr>
        <w:t>万元。授予中小企业合同金额</w:t>
      </w:r>
      <w:r>
        <w:rPr>
          <w:rFonts w:hint="eastAsia" w:ascii="仿宋" w:hAnsi="仿宋" w:eastAsia="仿宋"/>
          <w:sz w:val="30"/>
          <w:szCs w:val="30"/>
        </w:rPr>
        <w:t>601.64</w:t>
      </w:r>
      <w:r>
        <w:rPr>
          <w:rFonts w:hint="eastAsia" w:ascii="仿宋_GB2312" w:hAnsi="仿宋_GB2312" w:eastAsia="仿宋_GB2312"/>
          <w:sz w:val="30"/>
          <w:szCs w:val="30"/>
        </w:rPr>
        <w:t xml:space="preserve">  万元，占政府采购支出总额的</w:t>
      </w:r>
      <w:r>
        <w:rPr>
          <w:rFonts w:hint="eastAsia" w:ascii="仿宋_GB2312" w:hAnsi="仿宋_GB2312" w:eastAsia="仿宋_GB2312"/>
          <w:sz w:val="30"/>
          <w:szCs w:val="30"/>
          <w:lang w:val="en-US" w:eastAsia="zh-CN"/>
        </w:rPr>
        <w:t>100</w:t>
      </w:r>
      <w:r>
        <w:rPr>
          <w:rFonts w:hint="eastAsia" w:ascii="仿宋_GB2312" w:hAnsi="仿宋_GB2312" w:eastAsia="仿宋_GB2312"/>
          <w:sz w:val="30"/>
          <w:szCs w:val="30"/>
        </w:rPr>
        <w:t xml:space="preserve"> %，其中：授予小微企业合同金额</w:t>
      </w:r>
      <w:r>
        <w:rPr>
          <w:rFonts w:hint="eastAsia" w:ascii="仿宋" w:hAnsi="仿宋" w:eastAsia="仿宋"/>
          <w:sz w:val="30"/>
          <w:szCs w:val="30"/>
        </w:rPr>
        <w:t>601.64</w:t>
      </w:r>
      <w:r>
        <w:rPr>
          <w:rFonts w:hint="eastAsia" w:ascii="仿宋_GB2312" w:hAnsi="仿宋_GB2312" w:eastAsia="仿宋_GB2312"/>
          <w:sz w:val="30"/>
          <w:szCs w:val="30"/>
        </w:rPr>
        <w:t>万元，占政府采购支出总额的</w:t>
      </w:r>
      <w:r>
        <w:rPr>
          <w:rFonts w:hint="eastAsia" w:ascii="仿宋_GB2312" w:hAnsi="仿宋_GB2312" w:eastAsia="仿宋_GB2312"/>
          <w:sz w:val="30"/>
          <w:szCs w:val="30"/>
          <w:lang w:val="en-US" w:eastAsia="zh-CN"/>
        </w:rPr>
        <w:t>100</w:t>
      </w:r>
      <w:r>
        <w:rPr>
          <w:rFonts w:hint="eastAsia" w:ascii="仿宋_GB2312" w:hAnsi="仿宋_GB2312" w:eastAsia="仿宋_GB2312"/>
          <w:sz w:val="30"/>
          <w:szCs w:val="30"/>
        </w:rPr>
        <w:t xml:space="preserve"> %</w:t>
      </w:r>
      <w:r>
        <w:rPr>
          <w:rFonts w:hint="eastAsia" w:ascii="仿宋_GB2312" w:hAnsi="仿宋_GB2312" w:eastAsia="仿宋_GB2312"/>
          <w:sz w:val="30"/>
          <w:szCs w:val="30"/>
          <w:lang w:eastAsia="zh-CN"/>
        </w:rPr>
        <w:t>；</w:t>
      </w:r>
      <w:r>
        <w:rPr>
          <w:rFonts w:hint="eastAsia" w:ascii="仿宋_GB2312" w:hAnsi="仿宋_GB2312" w:eastAsia="仿宋_GB2312"/>
          <w:color w:val="auto"/>
          <w:sz w:val="30"/>
          <w:szCs w:val="30"/>
          <w:lang w:val="en-US" w:eastAsia="zh-CN"/>
        </w:rPr>
        <w:t>货物采购授予中小企业合同金额占货物支出金额的100%，工程采购授予中小企业合同金额占工程支出金额的100 %，服务采购授予中小企业合同金额占服务支出金额的100%。</w:t>
      </w:r>
      <w:r>
        <w:rPr>
          <w:rFonts w:hint="eastAsia" w:ascii="仿宋_GB2312" w:hAnsi="仿宋_GB2312" w:eastAsia="仿宋_GB2312"/>
          <w:color w:val="auto"/>
          <w:sz w:val="30"/>
          <w:szCs w:val="30"/>
        </w:rPr>
        <w:t>（</w:t>
      </w:r>
      <w:r>
        <w:rPr>
          <w:rFonts w:hint="eastAsia" w:ascii="仿宋_GB2312" w:hAnsi="仿宋_GB2312" w:eastAsia="仿宋_GB2312"/>
          <w:sz w:val="30"/>
          <w:szCs w:val="30"/>
          <w:lang w:val="en-US" w:eastAsia="zh-CN"/>
        </w:rPr>
        <w:t>单位公开的</w:t>
      </w:r>
      <w:r>
        <w:rPr>
          <w:rFonts w:hint="eastAsia" w:ascii="仿宋_GB2312" w:hAnsi="仿宋_GB2312" w:eastAsia="仿宋_GB2312"/>
          <w:sz w:val="30"/>
          <w:szCs w:val="30"/>
        </w:rPr>
        <w:t>政府采购金额的计算口径为：本</w:t>
      </w:r>
      <w:r>
        <w:rPr>
          <w:rFonts w:hint="eastAsia" w:ascii="仿宋_GB2312" w:hAnsi="仿宋_GB2312" w:eastAsia="仿宋_GB2312"/>
          <w:sz w:val="30"/>
          <w:szCs w:val="30"/>
          <w:lang w:val="en-US" w:eastAsia="zh-CN"/>
        </w:rPr>
        <w:t>单位</w:t>
      </w:r>
      <w:r>
        <w:rPr>
          <w:rFonts w:hint="eastAsia" w:ascii="仿宋_GB2312" w:hAnsi="仿宋_GB2312" w:eastAsia="仿宋_GB2312"/>
          <w:sz w:val="30"/>
          <w:szCs w:val="30"/>
        </w:rPr>
        <w:t>纳入202</w:t>
      </w:r>
      <w:r>
        <w:rPr>
          <w:rFonts w:hint="eastAsia" w:ascii="仿宋_GB2312" w:hAnsi="仿宋_GB2312" w:eastAsia="仿宋_GB2312"/>
          <w:sz w:val="30"/>
          <w:szCs w:val="30"/>
          <w:lang w:val="en-US" w:eastAsia="zh-CN"/>
        </w:rPr>
        <w:t>1</w:t>
      </w:r>
      <w:r>
        <w:rPr>
          <w:rFonts w:hint="eastAsia" w:ascii="仿宋_GB2312" w:hAnsi="仿宋_GB2312" w:eastAsia="仿宋_GB2312"/>
          <w:sz w:val="30"/>
          <w:szCs w:val="30"/>
        </w:rPr>
        <w:t>年</w:t>
      </w:r>
      <w:r>
        <w:rPr>
          <w:rFonts w:hint="eastAsia" w:ascii="仿宋_GB2312" w:hAnsi="仿宋_GB2312" w:eastAsia="仿宋_GB2312"/>
          <w:sz w:val="30"/>
          <w:szCs w:val="30"/>
          <w:lang w:val="en-US" w:eastAsia="zh-CN"/>
        </w:rPr>
        <w:t>单位</w:t>
      </w:r>
      <w:r>
        <w:rPr>
          <w:rFonts w:hint="eastAsia" w:ascii="仿宋_GB2312" w:hAnsi="仿宋_GB2312" w:eastAsia="仿宋_GB2312"/>
          <w:sz w:val="30"/>
          <w:szCs w:val="30"/>
        </w:rPr>
        <w:t>预算范围的各项政府采购支出金额之和。）</w:t>
      </w:r>
    </w:p>
    <w:p>
      <w:pPr>
        <w:ind w:firstLine="630"/>
        <w:jc w:val="left"/>
        <w:rPr>
          <w:rFonts w:hint="eastAsia" w:ascii="黑体" w:hAnsi="黑体" w:eastAsia="黑体"/>
          <w:sz w:val="30"/>
          <w:szCs w:val="30"/>
        </w:rPr>
      </w:pPr>
      <w:r>
        <w:rPr>
          <w:rFonts w:hint="eastAsia" w:ascii="黑体" w:hAnsi="黑体" w:eastAsia="黑体"/>
          <w:sz w:val="30"/>
          <w:szCs w:val="30"/>
        </w:rPr>
        <w:t>八、国有资产占用情况说明。</w:t>
      </w:r>
    </w:p>
    <w:p>
      <w:pPr>
        <w:widowControl/>
        <w:adjustRightInd w:val="0"/>
        <w:snapToGrid w:val="0"/>
        <w:spacing w:line="520" w:lineRule="exact"/>
        <w:ind w:firstLine="750" w:firstLineChars="250"/>
        <w:jc w:val="left"/>
        <w:rPr>
          <w:rFonts w:ascii="仿宋" w:hAnsi="仿宋" w:eastAsia="仿宋"/>
          <w:kern w:val="0"/>
          <w:sz w:val="30"/>
          <w:szCs w:val="30"/>
        </w:rPr>
      </w:pPr>
      <w:r>
        <w:rPr>
          <w:rFonts w:hint="eastAsia" w:ascii="仿宋" w:hAnsi="仿宋" w:eastAsia="仿宋"/>
          <w:kern w:val="0"/>
          <w:sz w:val="30"/>
          <w:szCs w:val="30"/>
        </w:rPr>
        <w:t>截止2021年12月31日，本</w:t>
      </w:r>
      <w:r>
        <w:rPr>
          <w:rFonts w:hint="eastAsia" w:ascii="仿宋" w:hAnsi="仿宋" w:eastAsia="仿宋"/>
          <w:kern w:val="0"/>
          <w:sz w:val="30"/>
          <w:szCs w:val="30"/>
          <w:lang w:eastAsia="zh-CN"/>
        </w:rPr>
        <w:t>单位</w:t>
      </w:r>
      <w:r>
        <w:rPr>
          <w:rFonts w:hint="eastAsia" w:ascii="仿宋" w:hAnsi="仿宋" w:eastAsia="仿宋"/>
          <w:kern w:val="0"/>
          <w:sz w:val="30"/>
          <w:szCs w:val="30"/>
        </w:rPr>
        <w:t>国有资产占用情况见公开10表《国有资产占用情况表》。截至2020年12月31日，</w:t>
      </w:r>
      <w:r>
        <w:rPr>
          <w:rFonts w:hint="eastAsia" w:ascii="仿宋" w:hAnsi="仿宋" w:eastAsia="仿宋"/>
          <w:kern w:val="0"/>
          <w:sz w:val="30"/>
          <w:szCs w:val="30"/>
          <w:lang w:val="en-US" w:eastAsia="zh-CN"/>
        </w:rPr>
        <w:t>单位</w:t>
      </w:r>
      <w:r>
        <w:rPr>
          <w:rFonts w:hint="eastAsia" w:ascii="仿宋" w:hAnsi="仿宋" w:eastAsia="仿宋"/>
          <w:kern w:val="0"/>
          <w:sz w:val="30"/>
          <w:szCs w:val="30"/>
        </w:rPr>
        <w:t>共有车辆0辆，其中，一般公务用车0辆，执法执勤用车0辆。</w:t>
      </w:r>
    </w:p>
    <w:p>
      <w:pPr>
        <w:ind w:firstLine="630"/>
        <w:jc w:val="left"/>
        <w:rPr>
          <w:rFonts w:hint="eastAsia" w:ascii="黑体" w:hAnsi="黑体" w:eastAsia="黑体"/>
          <w:sz w:val="30"/>
          <w:szCs w:val="30"/>
        </w:rPr>
      </w:pPr>
      <w:r>
        <w:rPr>
          <w:rFonts w:hint="eastAsia" w:ascii="黑体" w:hAnsi="黑体" w:eastAsia="黑体"/>
          <w:sz w:val="30"/>
          <w:szCs w:val="30"/>
        </w:rPr>
        <w:t>九、预算绩效情况说明</w:t>
      </w:r>
    </w:p>
    <w:p>
      <w:pPr>
        <w:autoSpaceDE w:val="0"/>
        <w:autoSpaceDN w:val="0"/>
        <w:adjustRightInd w:val="0"/>
        <w:spacing w:line="360" w:lineRule="auto"/>
        <w:jc w:val="left"/>
        <w:rPr>
          <w:rFonts w:hint="eastAsia" w:ascii="仿宋" w:hAnsi="仿宋" w:eastAsia="仿宋" w:cs="仿宋_GB2312"/>
          <w:kern w:val="0"/>
          <w:sz w:val="30"/>
          <w:szCs w:val="30"/>
        </w:rPr>
      </w:pPr>
      <w:r>
        <w:rPr>
          <w:rFonts w:hint="eastAsia" w:ascii="仿宋" w:hAnsi="仿宋" w:eastAsia="仿宋" w:cs="仿宋_GB2312"/>
          <w:kern w:val="0"/>
          <w:sz w:val="30"/>
          <w:szCs w:val="30"/>
        </w:rPr>
        <w:t xml:space="preserve">   （一）绩效管理工作开展情况。</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 xml:space="preserve">根据预算绩效管理要求，我单位组织对2021年度一般公共预算项目支出所有二级项目6个全面开展绩效自评，共涉及资金752.29万元，占一般公共预算项目支出总额的99%。    </w:t>
      </w:r>
      <w:bookmarkStart w:id="0" w:name="_GoBack"/>
      <w:bookmarkEnd w:id="0"/>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组织对文清楼强电维修改造工程润身园、孝先园改造工程、阅览室改造工程、田径场维修改造工程、教学楼公厕建设工程、综合楼建设等6个项目开展了</w:t>
      </w:r>
      <w:r>
        <w:rPr>
          <w:rFonts w:hint="eastAsia" w:ascii="仿宋" w:hAnsi="仿宋" w:eastAsia="仿宋" w:cs="仿宋_GB2312"/>
          <w:kern w:val="0"/>
          <w:sz w:val="30"/>
          <w:szCs w:val="30"/>
          <w:lang w:val="en-US" w:eastAsia="zh-CN"/>
        </w:rPr>
        <w:t>单位</w:t>
      </w:r>
      <w:r>
        <w:rPr>
          <w:rFonts w:hint="eastAsia" w:ascii="仿宋" w:hAnsi="仿宋" w:eastAsia="仿宋" w:cs="仿宋_GB2312"/>
          <w:kern w:val="0"/>
          <w:sz w:val="30"/>
          <w:szCs w:val="30"/>
        </w:rPr>
        <w:t>评价，涉及一般公共预算支出752.29万元，政府性基金预算支出0万元。从评价情况来看，项目目标设定符合政策规定，依据充分；项目资金管理、执行有效；项目资金拨付、到位及时；资金使用安全；项目执行情况良好，总体得分为99分，评价等级为优。</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组织对赣州市第一中学 1个</w:t>
      </w:r>
      <w:r>
        <w:rPr>
          <w:rFonts w:hint="eastAsia" w:ascii="仿宋" w:hAnsi="仿宋" w:eastAsia="仿宋" w:cs="仿宋_GB2312"/>
          <w:kern w:val="0"/>
          <w:sz w:val="30"/>
          <w:szCs w:val="30"/>
          <w:lang w:eastAsia="zh-CN"/>
        </w:rPr>
        <w:t>单位</w:t>
      </w:r>
      <w:r>
        <w:rPr>
          <w:rFonts w:hint="eastAsia" w:ascii="仿宋" w:hAnsi="仿宋" w:eastAsia="仿宋" w:cs="仿宋_GB2312"/>
          <w:kern w:val="0"/>
          <w:sz w:val="30"/>
          <w:szCs w:val="30"/>
        </w:rPr>
        <w:t>开展整体支出绩效评价试点，涉及一般公共预算支出</w:t>
      </w:r>
      <w:r>
        <w:rPr>
          <w:rFonts w:hint="eastAsia" w:ascii="仿宋" w:hAnsi="仿宋" w:eastAsia="仿宋" w:cs="仿宋_GB2312"/>
          <w:kern w:val="0"/>
          <w:sz w:val="30"/>
          <w:szCs w:val="30"/>
          <w:lang w:val="en-US" w:eastAsia="zh-CN"/>
        </w:rPr>
        <w:t>8814.20</w:t>
      </w:r>
      <w:r>
        <w:rPr>
          <w:rFonts w:hint="eastAsia" w:ascii="仿宋" w:hAnsi="仿宋" w:eastAsia="仿宋" w:cs="仿宋_GB2312"/>
          <w:kern w:val="0"/>
          <w:sz w:val="30"/>
          <w:szCs w:val="30"/>
        </w:rPr>
        <w:t>万元，政府性基金预算支出0万元。从评价情况来看，我校严格控制成本、厉行节约，严格保证工作质量，按时完成工作任务，教师、学生和学校的积极性有了很大的提高，教育教学质量稳步提升，确保完成义务教育任务。学校办学效益和社会效益有了很大提升，深受社会好评。</w:t>
      </w:r>
    </w:p>
    <w:p>
      <w:pPr>
        <w:autoSpaceDE w:val="0"/>
        <w:autoSpaceDN w:val="0"/>
        <w:adjustRightInd w:val="0"/>
        <w:spacing w:line="360" w:lineRule="auto"/>
        <w:jc w:val="left"/>
        <w:rPr>
          <w:rFonts w:hint="eastAsia" w:ascii="仿宋" w:hAnsi="仿宋" w:eastAsia="仿宋" w:cs="仿宋_GB2312"/>
          <w:kern w:val="0"/>
          <w:sz w:val="30"/>
          <w:szCs w:val="30"/>
        </w:rPr>
      </w:pPr>
      <w:r>
        <w:rPr>
          <w:rFonts w:hint="eastAsia" w:ascii="仿宋" w:hAnsi="仿宋" w:eastAsia="仿宋" w:cs="仿宋_GB2312"/>
          <w:kern w:val="0"/>
          <w:sz w:val="30"/>
          <w:szCs w:val="30"/>
          <w:lang w:val="en-US" w:eastAsia="zh-CN"/>
        </w:rPr>
        <w:t>（二）</w:t>
      </w:r>
      <w:r>
        <w:rPr>
          <w:rFonts w:hint="eastAsia" w:ascii="仿宋" w:hAnsi="仿宋" w:eastAsia="仿宋" w:cs="仿宋_GB2312"/>
          <w:kern w:val="0"/>
          <w:sz w:val="30"/>
          <w:szCs w:val="30"/>
          <w:lang w:eastAsia="zh-CN"/>
        </w:rPr>
        <w:t>单位</w:t>
      </w:r>
      <w:r>
        <w:rPr>
          <w:rFonts w:hint="eastAsia" w:ascii="仿宋" w:hAnsi="仿宋" w:eastAsia="仿宋" w:cs="仿宋_GB2312"/>
          <w:kern w:val="0"/>
          <w:sz w:val="30"/>
          <w:szCs w:val="30"/>
        </w:rPr>
        <w:t>决算中项目绩效自评结果。</w:t>
      </w:r>
    </w:p>
    <w:p>
      <w:pPr>
        <w:numPr>
          <w:ilvl w:val="0"/>
          <w:numId w:val="0"/>
        </w:numPr>
        <w:autoSpaceDE w:val="0"/>
        <w:autoSpaceDN w:val="0"/>
        <w:adjustRightInd w:val="0"/>
        <w:spacing w:line="360" w:lineRule="auto"/>
        <w:ind w:firstLine="600" w:firstLineChars="200"/>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lang w:val="en-US" w:eastAsia="zh-CN"/>
        </w:rPr>
        <w:t>我单位无项目支出。</w:t>
      </w:r>
    </w:p>
    <w:p>
      <w:pPr>
        <w:autoSpaceDE w:val="0"/>
        <w:autoSpaceDN w:val="0"/>
        <w:adjustRightInd w:val="0"/>
        <w:spacing w:line="360" w:lineRule="auto"/>
        <w:jc w:val="left"/>
        <w:rPr>
          <w:rFonts w:ascii="Arial" w:hAnsi="Arial" w:cs="Arial"/>
          <w:color w:val="000000"/>
          <w:szCs w:val="24"/>
        </w:rPr>
      </w:pPr>
    </w:p>
    <w:p>
      <w:pPr>
        <w:pStyle w:val="2"/>
        <w:widowControl/>
        <w:shd w:val="clear" w:color="auto" w:fill="FFFFFF"/>
        <w:spacing w:before="0" w:beforeAutospacing="0" w:after="0" w:afterAutospacing="0" w:line="432" w:lineRule="atLeast"/>
        <w:ind w:firstLine="480"/>
        <w:rPr>
          <w:rFonts w:ascii="Arial" w:hAnsi="Arial" w:cs="Arial"/>
          <w:color w:val="000000"/>
          <w:szCs w:val="24"/>
        </w:rPr>
      </w:pPr>
    </w:p>
    <w:p>
      <w:pPr>
        <w:autoSpaceDE w:val="0"/>
        <w:autoSpaceDN w:val="0"/>
        <w:adjustRightInd w:val="0"/>
        <w:spacing w:line="360" w:lineRule="auto"/>
        <w:ind w:firstLine="600"/>
        <w:jc w:val="left"/>
        <w:rPr>
          <w:rFonts w:ascii="仿宋" w:hAnsi="仿宋" w:eastAsia="仿宋" w:cs="仿宋_GB2312"/>
          <w:kern w:val="0"/>
          <w:sz w:val="30"/>
          <w:szCs w:val="30"/>
        </w:rPr>
      </w:pPr>
    </w:p>
    <w:p>
      <w:pPr>
        <w:widowControl/>
        <w:spacing w:line="600" w:lineRule="exact"/>
        <w:rPr>
          <w:rFonts w:hint="eastAsia" w:ascii="宋体" w:hAnsi="宋体"/>
          <w:b/>
          <w:sz w:val="32"/>
          <w:szCs w:val="32"/>
        </w:rPr>
        <w:sectPr>
          <w:pgSz w:w="11906" w:h="16838"/>
          <w:pgMar w:top="1440" w:right="1800" w:bottom="1440" w:left="1800" w:header="851" w:footer="992" w:gutter="0"/>
          <w:cols w:space="720" w:num="1"/>
          <w:docGrid w:type="lines" w:linePitch="312" w:charSpace="0"/>
        </w:sectPr>
      </w:pPr>
    </w:p>
    <w:p>
      <w:pPr>
        <w:widowControl/>
        <w:spacing w:line="600" w:lineRule="exact"/>
        <w:ind w:firstLine="2570" w:firstLineChars="800"/>
        <w:jc w:val="left"/>
        <w:rPr>
          <w:rFonts w:hint="eastAsia" w:ascii="宋体" w:hAnsi="宋体"/>
          <w:b/>
          <w:sz w:val="32"/>
          <w:szCs w:val="32"/>
        </w:rPr>
      </w:pPr>
      <w:r>
        <w:rPr>
          <w:rFonts w:hint="eastAsia" w:ascii="宋体" w:hAnsi="宋体"/>
          <w:b/>
          <w:sz w:val="32"/>
          <w:szCs w:val="32"/>
        </w:rPr>
        <w:t>第四部分  名词解释</w:t>
      </w:r>
    </w:p>
    <w:p>
      <w:pPr>
        <w:pStyle w:val="5"/>
        <w:spacing w:line="600" w:lineRule="atLeast"/>
        <w:ind w:firstLine="600"/>
        <w:rPr>
          <w:rFonts w:hint="eastAsia" w:ascii="仿宋" w:hAnsi="仿宋" w:eastAsia="仿宋"/>
          <w:sz w:val="30"/>
          <w:szCs w:val="30"/>
        </w:rPr>
      </w:pPr>
    </w:p>
    <w:p>
      <w:pPr>
        <w:rPr>
          <w:rFonts w:hint="eastAsia" w:ascii="仿宋" w:hAnsi="仿宋" w:eastAsia="仿宋"/>
          <w:kern w:val="0"/>
          <w:sz w:val="30"/>
          <w:szCs w:val="30"/>
        </w:rPr>
      </w:pPr>
      <w:r>
        <w:rPr>
          <w:rFonts w:hint="eastAsia" w:ascii="仿宋" w:hAnsi="仿宋" w:eastAsia="仿宋"/>
          <w:kern w:val="0"/>
          <w:sz w:val="30"/>
          <w:szCs w:val="30"/>
        </w:rPr>
        <w:t xml:space="preserve">  一、财政拨款收入：指单位本年度从本级财政</w:t>
      </w:r>
      <w:r>
        <w:rPr>
          <w:rFonts w:hint="eastAsia" w:ascii="仿宋" w:hAnsi="仿宋" w:eastAsia="仿宋"/>
          <w:kern w:val="0"/>
          <w:sz w:val="30"/>
          <w:szCs w:val="30"/>
          <w:lang w:eastAsia="zh-CN"/>
        </w:rPr>
        <w:t>单位</w:t>
      </w:r>
      <w:r>
        <w:rPr>
          <w:rFonts w:hint="eastAsia" w:ascii="仿宋" w:hAnsi="仿宋" w:eastAsia="仿宋"/>
          <w:kern w:val="0"/>
          <w:sz w:val="30"/>
          <w:szCs w:val="30"/>
        </w:rPr>
        <w:t>取得的财政拨款，包括一般公共预算财政拨款和政府性基金预算财政拨款。</w:t>
      </w:r>
    </w:p>
    <w:p>
      <w:pPr>
        <w:rPr>
          <w:rFonts w:hint="eastAsia" w:ascii="仿宋" w:hAnsi="仿宋" w:eastAsia="仿宋"/>
          <w:kern w:val="0"/>
          <w:sz w:val="30"/>
          <w:szCs w:val="30"/>
        </w:rPr>
      </w:pPr>
      <w:r>
        <w:rPr>
          <w:rFonts w:hint="eastAsia" w:ascii="仿宋" w:hAnsi="仿宋" w:eastAsia="仿宋"/>
          <w:kern w:val="0"/>
          <w:sz w:val="30"/>
          <w:szCs w:val="30"/>
        </w:rPr>
        <w:t>二、上级补助收入：指事业单位从主管</w:t>
      </w:r>
      <w:r>
        <w:rPr>
          <w:rFonts w:hint="eastAsia" w:ascii="仿宋" w:hAnsi="仿宋" w:eastAsia="仿宋"/>
          <w:kern w:val="0"/>
          <w:sz w:val="30"/>
          <w:szCs w:val="30"/>
          <w:lang w:eastAsia="zh-CN"/>
        </w:rPr>
        <w:t>单位</w:t>
      </w:r>
      <w:r>
        <w:rPr>
          <w:rFonts w:hint="eastAsia" w:ascii="仿宋" w:hAnsi="仿宋" w:eastAsia="仿宋"/>
          <w:kern w:val="0"/>
          <w:sz w:val="30"/>
          <w:szCs w:val="30"/>
        </w:rPr>
        <w:t>和上级单位取得的非财政补助收入。</w:t>
      </w:r>
    </w:p>
    <w:p>
      <w:pPr>
        <w:rPr>
          <w:rFonts w:hint="eastAsia" w:ascii="仿宋" w:hAnsi="仿宋" w:eastAsia="仿宋"/>
          <w:kern w:val="0"/>
          <w:sz w:val="30"/>
          <w:szCs w:val="30"/>
        </w:rPr>
      </w:pPr>
      <w:r>
        <w:rPr>
          <w:rFonts w:hint="eastAsia" w:ascii="仿宋" w:hAnsi="仿宋" w:eastAsia="仿宋"/>
          <w:kern w:val="0"/>
          <w:sz w:val="30"/>
          <w:szCs w:val="30"/>
        </w:rPr>
        <w:t>三、附属单位缴款：指事业单位附属独立核算单位按照有关规定上缴的收入。</w:t>
      </w:r>
    </w:p>
    <w:p>
      <w:pPr>
        <w:rPr>
          <w:rFonts w:hint="eastAsia" w:ascii="仿宋" w:hAnsi="仿宋" w:eastAsia="仿宋"/>
          <w:kern w:val="0"/>
          <w:sz w:val="30"/>
          <w:szCs w:val="30"/>
        </w:rPr>
      </w:pPr>
      <w:r>
        <w:rPr>
          <w:rFonts w:hint="eastAsia" w:ascii="仿宋" w:hAnsi="仿宋" w:eastAsia="仿宋"/>
          <w:kern w:val="0"/>
          <w:sz w:val="30"/>
          <w:szCs w:val="30"/>
        </w:rPr>
        <w:t>四、其他收入：指单位取得的除上述“财政拨款收入”、“事业收入”、“经营收入”、“附属单位缴款”等以外的各项收入。</w:t>
      </w:r>
    </w:p>
    <w:p>
      <w:pPr>
        <w:rPr>
          <w:rFonts w:hint="eastAsia" w:ascii="仿宋" w:hAnsi="仿宋" w:eastAsia="仿宋"/>
          <w:kern w:val="0"/>
          <w:sz w:val="30"/>
          <w:szCs w:val="30"/>
        </w:rPr>
      </w:pPr>
      <w:r>
        <w:rPr>
          <w:rFonts w:hint="eastAsia" w:ascii="仿宋" w:hAnsi="仿宋" w:eastAsia="仿宋"/>
          <w:kern w:val="0"/>
          <w:sz w:val="30"/>
          <w:szCs w:val="30"/>
        </w:rPr>
        <w:t>五、年初结转和结余：指单位上年结转本年使用的基本支出结转、项目支出结转和结余和经营结余。 </w:t>
      </w:r>
    </w:p>
    <w:p>
      <w:pPr>
        <w:rPr>
          <w:rFonts w:hint="eastAsia" w:ascii="仿宋" w:hAnsi="仿宋" w:eastAsia="仿宋"/>
          <w:kern w:val="0"/>
          <w:sz w:val="30"/>
          <w:szCs w:val="30"/>
        </w:rPr>
      </w:pPr>
      <w:r>
        <w:rPr>
          <w:rFonts w:hint="eastAsia" w:ascii="仿宋" w:hAnsi="仿宋" w:eastAsia="仿宋"/>
          <w:kern w:val="0"/>
          <w:sz w:val="30"/>
          <w:szCs w:val="30"/>
        </w:rPr>
        <w:t>六、年末结转和结余资金：指单位结转下年的基本支出结转、项目支出结转和结余和经营结余。</w:t>
      </w:r>
    </w:p>
    <w:p>
      <w:pPr>
        <w:rPr>
          <w:rFonts w:hint="eastAsia" w:ascii="仿宋" w:hAnsi="仿宋" w:eastAsia="仿宋"/>
          <w:kern w:val="0"/>
          <w:sz w:val="30"/>
          <w:szCs w:val="30"/>
        </w:rPr>
      </w:pPr>
      <w:r>
        <w:rPr>
          <w:rFonts w:hint="eastAsia" w:ascii="仿宋" w:hAnsi="仿宋" w:eastAsia="仿宋"/>
          <w:kern w:val="0"/>
          <w:sz w:val="30"/>
          <w:szCs w:val="30"/>
        </w:rPr>
        <w:t>七、基本支出：指为保障机构正常运转、完成日常工作任务而发生的人员支出和公用支出。 </w:t>
      </w:r>
    </w:p>
    <w:p>
      <w:pPr>
        <w:rPr>
          <w:rFonts w:hint="eastAsia" w:ascii="仿宋" w:hAnsi="仿宋" w:eastAsia="仿宋"/>
          <w:kern w:val="0"/>
          <w:sz w:val="30"/>
          <w:szCs w:val="30"/>
        </w:rPr>
      </w:pPr>
      <w:r>
        <w:rPr>
          <w:rFonts w:hint="eastAsia" w:ascii="仿宋" w:hAnsi="仿宋" w:eastAsia="仿宋"/>
          <w:kern w:val="0"/>
          <w:sz w:val="30"/>
          <w:szCs w:val="30"/>
        </w:rPr>
        <w:t>八、项目支出：指在基本支出之外为完成特定的行政任务或事业发展目标所发生的支出。 </w:t>
      </w:r>
    </w:p>
    <w:p>
      <w:pPr>
        <w:rPr>
          <w:rFonts w:hint="eastAsia" w:ascii="仿宋" w:hAnsi="仿宋" w:eastAsia="仿宋"/>
          <w:kern w:val="0"/>
          <w:sz w:val="30"/>
          <w:szCs w:val="30"/>
        </w:rPr>
      </w:pPr>
      <w:r>
        <w:rPr>
          <w:rFonts w:hint="eastAsia" w:ascii="仿宋" w:hAnsi="仿宋" w:eastAsia="仿宋"/>
          <w:kern w:val="0"/>
          <w:sz w:val="30"/>
          <w:szCs w:val="30"/>
        </w:rPr>
        <w:t>九、上缴上级支出：指事业单位按照财政</w:t>
      </w:r>
      <w:r>
        <w:rPr>
          <w:rFonts w:hint="eastAsia" w:ascii="仿宋" w:hAnsi="仿宋" w:eastAsia="仿宋"/>
          <w:kern w:val="0"/>
          <w:sz w:val="30"/>
          <w:szCs w:val="30"/>
          <w:lang w:eastAsia="zh-CN"/>
        </w:rPr>
        <w:t>单位</w:t>
      </w:r>
      <w:r>
        <w:rPr>
          <w:rFonts w:hint="eastAsia" w:ascii="仿宋" w:hAnsi="仿宋" w:eastAsia="仿宋"/>
          <w:kern w:val="0"/>
          <w:sz w:val="30"/>
          <w:szCs w:val="30"/>
        </w:rPr>
        <w:t>和主管</w:t>
      </w:r>
      <w:r>
        <w:rPr>
          <w:rFonts w:hint="eastAsia" w:ascii="仿宋" w:hAnsi="仿宋" w:eastAsia="仿宋"/>
          <w:kern w:val="0"/>
          <w:sz w:val="30"/>
          <w:szCs w:val="30"/>
          <w:lang w:eastAsia="zh-CN"/>
        </w:rPr>
        <w:t>单位</w:t>
      </w:r>
      <w:r>
        <w:rPr>
          <w:rFonts w:hint="eastAsia" w:ascii="仿宋" w:hAnsi="仿宋" w:eastAsia="仿宋"/>
          <w:kern w:val="0"/>
          <w:sz w:val="30"/>
          <w:szCs w:val="30"/>
        </w:rPr>
        <w:t>的规定上缴上级单位的支出。</w:t>
      </w:r>
    </w:p>
    <w:p>
      <w:pPr>
        <w:rPr>
          <w:rFonts w:hint="eastAsia" w:ascii="仿宋" w:hAnsi="仿宋" w:eastAsia="仿宋"/>
          <w:kern w:val="0"/>
          <w:sz w:val="30"/>
          <w:szCs w:val="30"/>
        </w:rPr>
      </w:pPr>
      <w:r>
        <w:rPr>
          <w:rFonts w:hint="eastAsia" w:ascii="仿宋" w:hAnsi="仿宋" w:eastAsia="仿宋"/>
          <w:kern w:val="0"/>
          <w:sz w:val="30"/>
          <w:szCs w:val="30"/>
        </w:rPr>
        <w:t>十、对附属单位补助支出：指事业单位用财政补助收入之外的收入对附属单位补助发生的支出。</w:t>
      </w:r>
    </w:p>
    <w:p>
      <w:pPr>
        <w:rPr>
          <w:rFonts w:hint="eastAsia" w:ascii="仿宋" w:hAnsi="仿宋" w:eastAsia="仿宋"/>
          <w:kern w:val="0"/>
          <w:sz w:val="30"/>
          <w:szCs w:val="30"/>
        </w:rPr>
      </w:pPr>
      <w:r>
        <w:rPr>
          <w:rFonts w:hint="eastAsia" w:ascii="仿宋" w:hAnsi="仿宋" w:eastAsia="仿宋"/>
          <w:kern w:val="0"/>
          <w:sz w:val="30"/>
          <w:szCs w:val="30"/>
        </w:rPr>
        <w:t>十一、“三公”经费：指各</w:t>
      </w:r>
      <w:r>
        <w:rPr>
          <w:rFonts w:hint="eastAsia" w:ascii="仿宋" w:hAnsi="仿宋" w:eastAsia="仿宋"/>
          <w:kern w:val="0"/>
          <w:sz w:val="30"/>
          <w:szCs w:val="30"/>
          <w:lang w:eastAsia="zh-CN"/>
        </w:rPr>
        <w:t>单位</w:t>
      </w:r>
      <w:r>
        <w:rPr>
          <w:rFonts w:hint="eastAsia" w:ascii="仿宋" w:hAnsi="仿宋" w:eastAsia="仿宋"/>
          <w:kern w:val="0"/>
          <w:sz w:val="30"/>
          <w:szCs w:val="30"/>
        </w:rPr>
        <w:t>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rPr>
          <w:rFonts w:hint="eastAsia" w:ascii="仿宋" w:hAnsi="仿宋" w:eastAsia="仿宋"/>
          <w:sz w:val="30"/>
          <w:szCs w:val="30"/>
        </w:rPr>
      </w:pPr>
      <w:r>
        <w:rPr>
          <w:rFonts w:hint="eastAsia" w:ascii="仿宋" w:hAnsi="仿宋" w:eastAsia="仿宋"/>
          <w:kern w:val="0"/>
          <w:sz w:val="30"/>
          <w:szCs w:val="30"/>
        </w:rPr>
        <w:t>十二、机关运行经费：指为保障行政单位（含参照公务员法管理的事业单位）运行用于购买货物和服务的各项资金，包括办公费、印刷费、差旅费、会议费、日常维修费、专用材料及办公用房水电费、物业管理费、公务用车运行维护费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7E31BA"/>
    <w:multiLevelType w:val="singleLevel"/>
    <w:tmpl w:val="877E31BA"/>
    <w:lvl w:ilvl="0" w:tentative="0">
      <w:start w:val="1"/>
      <w:numFmt w:val="chineseCounting"/>
      <w:suff w:val="nothing"/>
      <w:lvlText w:val="%1、"/>
      <w:lvlJc w:val="left"/>
      <w:rPr>
        <w:rFonts w:hint="eastAsia"/>
      </w:rPr>
    </w:lvl>
  </w:abstractNum>
  <w:abstractNum w:abstractNumId="1">
    <w:nsid w:val="9696A75D"/>
    <w:multiLevelType w:val="singleLevel"/>
    <w:tmpl w:val="9696A75D"/>
    <w:lvl w:ilvl="0" w:tentative="0">
      <w:start w:val="1"/>
      <w:numFmt w:val="chineseCounting"/>
      <w:suff w:val="nothing"/>
      <w:lvlText w:val="（%1）"/>
      <w:lvlJc w:val="left"/>
      <w:rPr>
        <w:rFonts w:hint="eastAsia"/>
      </w:rPr>
    </w:lvl>
  </w:abstractNum>
  <w:abstractNum w:abstractNumId="2">
    <w:nsid w:val="CEF1AB64"/>
    <w:multiLevelType w:val="singleLevel"/>
    <w:tmpl w:val="CEF1AB64"/>
    <w:lvl w:ilvl="0" w:tentative="0">
      <w:start w:val="8"/>
      <w:numFmt w:val="chineseCounting"/>
      <w:suff w:val="nothing"/>
      <w:lvlText w:val="%1、"/>
      <w:lvlJc w:val="left"/>
      <w:pPr>
        <w:ind w:left="1280" w:firstLine="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2Y2M5ZDVmNTBmOWQxYjM2ZTMzNzAzNGJhNmRhOWEifQ=="/>
  </w:docVars>
  <w:rsids>
    <w:rsidRoot w:val="4D7C55E8"/>
    <w:rsid w:val="028B36A9"/>
    <w:rsid w:val="0A336D60"/>
    <w:rsid w:val="0ECF2B6F"/>
    <w:rsid w:val="0F7D25CB"/>
    <w:rsid w:val="1182211B"/>
    <w:rsid w:val="12C839B1"/>
    <w:rsid w:val="165D7654"/>
    <w:rsid w:val="170A0BE8"/>
    <w:rsid w:val="1ABA179C"/>
    <w:rsid w:val="1B0E4A1F"/>
    <w:rsid w:val="1B155DAE"/>
    <w:rsid w:val="1CCC6940"/>
    <w:rsid w:val="212A0B83"/>
    <w:rsid w:val="229978F1"/>
    <w:rsid w:val="268B33C8"/>
    <w:rsid w:val="2702368A"/>
    <w:rsid w:val="2D5B3AF4"/>
    <w:rsid w:val="30D2231F"/>
    <w:rsid w:val="32E4633A"/>
    <w:rsid w:val="3445105A"/>
    <w:rsid w:val="345179FF"/>
    <w:rsid w:val="374A7A69"/>
    <w:rsid w:val="375A4E1C"/>
    <w:rsid w:val="38172D0E"/>
    <w:rsid w:val="390019F4"/>
    <w:rsid w:val="39C72511"/>
    <w:rsid w:val="3BE84505"/>
    <w:rsid w:val="40520D87"/>
    <w:rsid w:val="436F1C50"/>
    <w:rsid w:val="4464630B"/>
    <w:rsid w:val="44896D41"/>
    <w:rsid w:val="475278BE"/>
    <w:rsid w:val="48F84495"/>
    <w:rsid w:val="4D7C55E8"/>
    <w:rsid w:val="4DA62712"/>
    <w:rsid w:val="4E8B1908"/>
    <w:rsid w:val="55825812"/>
    <w:rsid w:val="55E55DA1"/>
    <w:rsid w:val="561F12B3"/>
    <w:rsid w:val="56C97471"/>
    <w:rsid w:val="587F428B"/>
    <w:rsid w:val="5AD308BE"/>
    <w:rsid w:val="5E421FE3"/>
    <w:rsid w:val="5ED6097D"/>
    <w:rsid w:val="5FC609F2"/>
    <w:rsid w:val="5FD90725"/>
    <w:rsid w:val="5FF05A6E"/>
    <w:rsid w:val="63352116"/>
    <w:rsid w:val="64B56B59"/>
    <w:rsid w:val="65991C7A"/>
    <w:rsid w:val="68016A6B"/>
    <w:rsid w:val="6BD44496"/>
    <w:rsid w:val="6E2C4607"/>
    <w:rsid w:val="6E5F44EB"/>
    <w:rsid w:val="6F4831D1"/>
    <w:rsid w:val="6F840784"/>
    <w:rsid w:val="72B648F6"/>
    <w:rsid w:val="73410663"/>
    <w:rsid w:val="74650381"/>
    <w:rsid w:val="7B4F58E7"/>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3570</Words>
  <Characters>3989</Characters>
  <Lines>0</Lines>
  <Paragraphs>0</Paragraphs>
  <TotalTime>11</TotalTime>
  <ScaleCrop>false</ScaleCrop>
  <LinksUpToDate>false</LinksUpToDate>
  <CharactersWithSpaces>4086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2022-09-14T10:35:00Z</dcterms:created>
  <dc:creator>釉色</dc:creator>
  <cp:lastModifiedBy>釉色</cp:lastModifiedBy>
  <dcterms:modified xsi:type="dcterms:W3CDTF">2022-09-15T08:41:00Z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47BCFAA97C894949B78289CF2244D723</vt:lpwstr>
  </property>
</Properties>
</file>