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top w:val="none" w:color="auto" w:sz="0" w:space="0"/>
          <w:left w:val="none" w:color="auto" w:sz="0" w:space="0"/>
          <w:bottom w:val="none" w:color="auto" w:sz="0" w:space="0"/>
          <w:right w:val="none" w:color="auto" w:sz="0" w:space="0"/>
          <w:between w:val="none" w:color="auto" w:sz="0" w:space="0"/>
        </w:pBdr>
        <w:spacing w:line="600" w:lineRule="exact"/>
        <w:ind w:firstLine="640"/>
        <w:jc w:val="center"/>
        <w:rPr>
          <w:rFonts w:hint="eastAsia" w:ascii="黑体" w:hAnsi="黑体" w:eastAsia="黑体" w:cs="黑体"/>
          <w:b w:val="0"/>
          <w:bCs/>
          <w:sz w:val="32"/>
          <w:szCs w:val="32"/>
        </w:rPr>
      </w:pPr>
      <w:r>
        <w:rPr>
          <w:rFonts w:hint="eastAsia" w:ascii="黑体" w:hAnsi="黑体" w:eastAsia="黑体" w:cs="黑体"/>
          <w:b w:val="0"/>
          <w:bCs/>
          <w:sz w:val="32"/>
          <w:szCs w:val="32"/>
        </w:rPr>
        <w:t>第二部分  202</w:t>
      </w:r>
      <w:r>
        <w:rPr>
          <w:rFonts w:hint="eastAsia" w:ascii="黑体" w:hAnsi="黑体" w:eastAsia="黑体" w:cs="黑体"/>
          <w:b w:val="0"/>
          <w:bCs/>
          <w:sz w:val="32"/>
          <w:szCs w:val="32"/>
          <w:lang w:val="en-US" w:eastAsia="zh-CN"/>
        </w:rPr>
        <w:t>1</w:t>
      </w:r>
      <w:r>
        <w:rPr>
          <w:rFonts w:hint="eastAsia" w:ascii="黑体" w:hAnsi="黑体" w:eastAsia="黑体" w:cs="黑体"/>
          <w:b w:val="0"/>
          <w:bCs/>
          <w:sz w:val="32"/>
          <w:szCs w:val="32"/>
        </w:rPr>
        <w:t>年度部门决算表</w:t>
      </w: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942"/>
        <w:gridCol w:w="536"/>
        <w:gridCol w:w="900"/>
        <w:gridCol w:w="2732"/>
        <w:gridCol w:w="546"/>
        <w:gridCol w:w="8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8524" w:type="dxa"/>
            <w:gridSpan w:val="6"/>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center"/>
              <w:textAlignment w:val="center"/>
              <w:outlineLvl w:val="9"/>
              <w:rPr>
                <w:rFonts w:hint="eastAsia" w:ascii="黑体" w:hAnsi="宋体" w:eastAsia="黑体" w:cs="黑体"/>
                <w:i w:val="0"/>
                <w:color w:val="000000"/>
                <w:kern w:val="0"/>
                <w:sz w:val="30"/>
                <w:szCs w:val="30"/>
                <w:u w:val="none"/>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center"/>
              <w:textAlignment w:val="center"/>
              <w:outlineLvl w:val="9"/>
              <w:rPr>
                <w:rFonts w:ascii="黑体" w:hAnsi="宋体" w:eastAsia="黑体" w:cs="黑体"/>
                <w:i w:val="0"/>
                <w:color w:val="000000"/>
                <w:sz w:val="18"/>
                <w:szCs w:val="18"/>
                <w:u w:val="none"/>
              </w:rPr>
            </w:pPr>
            <w:r>
              <w:rPr>
                <w:rFonts w:hint="eastAsia" w:ascii="黑体" w:hAnsi="宋体" w:eastAsia="黑体" w:cs="黑体"/>
                <w:i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900"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2732"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46"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868" w:type="dxa"/>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righ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（本级）</w:t>
            </w:r>
          </w:p>
        </w:tc>
        <w:tc>
          <w:tcPr>
            <w:tcW w:w="536"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900"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年度</w:t>
            </w:r>
          </w:p>
        </w:tc>
        <w:tc>
          <w:tcPr>
            <w:tcW w:w="2732"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46"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868" w:type="dxa"/>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80" w:lineRule="exact"/>
              <w:jc w:val="righ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4378"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4146"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536"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900"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2732"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项目（按功能分类）</w:t>
            </w:r>
          </w:p>
        </w:tc>
        <w:tc>
          <w:tcPr>
            <w:tcW w:w="546"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868"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533.31</w:t>
            </w: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四、上级补助收入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五、事业收入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六、经营收入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七、附属单位上缴收入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八、其他收入</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54.54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417.46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25.39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b/>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left"/>
              <w:outlineLvl w:val="9"/>
              <w:rPr>
                <w:rFonts w:hint="eastAsia" w:ascii="宋体" w:hAnsi="宋体" w:eastAsia="宋体" w:cs="宋体"/>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8"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533.31</w:t>
            </w: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554.79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使用非财政拨款结余</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结余分配                 </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年初结转和结余</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21.48</w:t>
            </w: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年末结转和结余                                </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b/>
                <w:i w:val="0"/>
                <w:color w:val="000000"/>
                <w:sz w:val="18"/>
                <w:szCs w:val="18"/>
                <w:u w:val="none"/>
              </w:rPr>
            </w:pP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b/>
                <w:i w:val="0"/>
                <w:color w:val="000000"/>
                <w:sz w:val="18"/>
                <w:szCs w:val="18"/>
                <w:u w:val="none"/>
              </w:rPr>
            </w:pP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29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3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273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546"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8524" w:type="dxa"/>
            <w:gridSpan w:val="6"/>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 w:hRule="atLeast"/>
        </w:trPr>
        <w:tc>
          <w:tcPr>
            <w:tcW w:w="8524" w:type="dxa"/>
            <w:gridSpan w:val="6"/>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2.本套报表金额单位转换时可能存在尾数误差。</w:t>
            </w:r>
          </w:p>
        </w:tc>
      </w:tr>
    </w:tbl>
    <w:p>
      <w:pPr>
        <w:autoSpaceDE w:val="0"/>
        <w:autoSpaceDN w:val="0"/>
        <w:adjustRightInd w:val="0"/>
        <w:spacing w:line="360" w:lineRule="auto"/>
        <w:jc w:val="left"/>
        <w:rPr>
          <w:rFonts w:hint="eastAsia" w:eastAsia="宋体"/>
          <w:szCs w:val="30"/>
          <w:lang w:eastAsia="zh-CN"/>
        </w:rPr>
      </w:pPr>
    </w:p>
    <w:p>
      <w:pPr>
        <w:keepNext w:val="0"/>
        <w:keepLines w:val="0"/>
        <w:widowControl/>
        <w:suppressLineNumbers w:val="0"/>
        <w:jc w:val="center"/>
        <w:textAlignment w:val="center"/>
        <w:rPr>
          <w:rFonts w:hint="eastAsia" w:ascii="黑体" w:hAnsi="宋体" w:eastAsia="黑体" w:cs="黑体"/>
          <w:i w:val="0"/>
          <w:color w:val="000000"/>
          <w:kern w:val="0"/>
          <w:sz w:val="44"/>
          <w:szCs w:val="44"/>
          <w:u w:val="none"/>
          <w:lang w:val="en-US" w:eastAsia="zh-CN" w:bidi="ar"/>
        </w:rPr>
        <w:sectPr>
          <w:pgSz w:w="11906" w:h="16838"/>
          <w:pgMar w:top="1723" w:right="1633" w:bottom="1440" w:left="1633" w:header="851" w:footer="992" w:gutter="0"/>
          <w:cols w:space="720" w:num="1"/>
          <w:rtlGutter w:val="0"/>
          <w:docGrid w:type="lines" w:linePitch="312" w:charSpace="0"/>
        </w:sectPr>
      </w:pPr>
    </w:p>
    <w:tbl>
      <w:tblPr>
        <w:tblStyle w:val="2"/>
        <w:tblW w:w="86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39"/>
        <w:gridCol w:w="240"/>
        <w:gridCol w:w="240"/>
        <w:gridCol w:w="1867"/>
        <w:gridCol w:w="825"/>
        <w:gridCol w:w="857"/>
        <w:gridCol w:w="868"/>
        <w:gridCol w:w="857"/>
        <w:gridCol w:w="900"/>
        <w:gridCol w:w="825"/>
        <w:gridCol w:w="8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8696" w:type="dxa"/>
            <w:gridSpan w:val="11"/>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2"/>
                <w:szCs w:val="32"/>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2" w:hRule="atLeast"/>
        </w:trPr>
        <w:tc>
          <w:tcPr>
            <w:tcW w:w="8696" w:type="dxa"/>
            <w:gridSpan w:val="11"/>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696" w:type="dxa"/>
            <w:gridSpan w:val="11"/>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（本级）</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年度</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686"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本年收入合计</w:t>
            </w:r>
          </w:p>
        </w:tc>
        <w:tc>
          <w:tcPr>
            <w:tcW w:w="85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财政拨款收入</w:t>
            </w:r>
          </w:p>
        </w:tc>
        <w:tc>
          <w:tcPr>
            <w:tcW w:w="8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上级补助收入</w:t>
            </w:r>
          </w:p>
        </w:tc>
        <w:tc>
          <w:tcPr>
            <w:tcW w:w="85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事业收入</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经营收入</w:t>
            </w:r>
          </w:p>
        </w:tc>
        <w:tc>
          <w:tcPr>
            <w:tcW w:w="8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附属单位上缴收入</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vMerge w:val="restart"/>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1867"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82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68"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8"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7"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7"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339" w:type="dxa"/>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240" w:type="dxa"/>
            <w:vMerge w:val="restart"/>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240" w:type="dxa"/>
            <w:vMerge w:val="restart"/>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339"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tabs>
                <w:tab w:val="left" w:pos="399"/>
              </w:tabs>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533.31</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533.31</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54.54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20805</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54.54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w:t>
            </w:r>
            <w:r>
              <w:rPr>
                <w:rFonts w:hint="eastAsia" w:ascii="宋体" w:hAnsi="宋体" w:cs="宋体"/>
                <w:i w:val="0"/>
                <w:color w:val="000000"/>
                <w:kern w:val="0"/>
                <w:sz w:val="18"/>
                <w:szCs w:val="18"/>
                <w:u w:val="none"/>
                <w:lang w:val="en-US" w:eastAsia="zh-CN" w:bidi="ar"/>
              </w:rPr>
              <w:t>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cs="宋体"/>
                <w:i w:val="0"/>
                <w:color w:val="000000"/>
                <w:kern w:val="0"/>
                <w:sz w:val="18"/>
                <w:szCs w:val="18"/>
                <w:u w:val="none"/>
                <w:lang w:val="en-US" w:eastAsia="zh-CN" w:bidi="ar"/>
              </w:rPr>
              <w:t>行政</w:t>
            </w:r>
            <w:r>
              <w:rPr>
                <w:rFonts w:hint="eastAsia" w:ascii="宋体" w:hAnsi="宋体" w:eastAsia="宋体" w:cs="宋体"/>
                <w:i w:val="0"/>
                <w:color w:val="000000"/>
                <w:kern w:val="0"/>
                <w:sz w:val="18"/>
                <w:szCs w:val="18"/>
                <w:u w:val="none"/>
                <w:lang w:val="en-US" w:eastAsia="zh-CN" w:bidi="ar"/>
              </w:rPr>
              <w:t>单位离退休</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5.36</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5.36</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rPr>
            </w:pPr>
            <w:r>
              <w:rPr>
                <w:rFonts w:hint="eastAsia" w:ascii="宋体" w:hAnsi="宋体" w:eastAsia="宋体" w:cs="宋体"/>
                <w:i w:val="0"/>
                <w:color w:val="000000"/>
                <w:kern w:val="0"/>
                <w:sz w:val="18"/>
                <w:szCs w:val="18"/>
                <w:u w:val="none"/>
                <w:lang w:val="en-US" w:eastAsia="zh-CN" w:bidi="ar"/>
              </w:rPr>
              <w:t>2080502</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rPr>
            </w:pPr>
            <w:r>
              <w:rPr>
                <w:rFonts w:hint="eastAsia" w:ascii="宋体" w:hAnsi="宋体" w:eastAsia="宋体" w:cs="宋体"/>
                <w:i w:val="0"/>
                <w:color w:val="000000"/>
                <w:kern w:val="0"/>
                <w:sz w:val="18"/>
                <w:szCs w:val="18"/>
                <w:u w:val="none"/>
                <w:lang w:val="en-US" w:eastAsia="zh-CN" w:bidi="ar"/>
              </w:rPr>
              <w:t xml:space="preserve">  事业单位离退休</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16.86</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16.86</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kern w:val="2"/>
                <w:sz w:val="18"/>
                <w:szCs w:val="18"/>
                <w:u w:val="none"/>
                <w:lang w:val="en-US" w:eastAsia="zh-CN"/>
              </w:rPr>
              <w:t>26.52</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26.52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机关事业单位职业年金缴费支出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5.8</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52.4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52.4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0.14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0.14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事业单位医疗</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44.42</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44.42</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2101103</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7.84</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7.84</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商业服务业等支出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395.98</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395.98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21602</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商业流通事务</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395.98</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395.98</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251.00</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251.00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2160202</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一般行政管理事务</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145.00</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145.00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住房保障支出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25.39</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22102</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住房改革支出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25.39</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25.39</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25.39</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其他支出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22999</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其他支出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19"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2299999</w:t>
            </w:r>
          </w:p>
        </w:tc>
        <w:tc>
          <w:tcPr>
            <w:tcW w:w="186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其他支出</w:t>
            </w: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8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2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87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8696" w:type="dxa"/>
            <w:gridSpan w:val="11"/>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注：本表反映部门本年度取得的各项收入情况。</w:t>
            </w:r>
          </w:p>
        </w:tc>
      </w:tr>
    </w:tbl>
    <w:p>
      <w:pPr>
        <w:autoSpaceDE w:val="0"/>
        <w:autoSpaceDN w:val="0"/>
        <w:adjustRightInd w:val="0"/>
        <w:spacing w:line="360" w:lineRule="auto"/>
        <w:jc w:val="left"/>
        <w:rPr>
          <w:sz w:val="11"/>
          <w:szCs w:val="11"/>
        </w:rPr>
        <w:sectPr>
          <w:pgSz w:w="11906" w:h="16838"/>
          <w:pgMar w:top="1723" w:right="1633" w:bottom="1440" w:left="1633" w:header="851" w:footer="992" w:gutter="0"/>
          <w:cols w:space="720" w:num="1"/>
          <w:rtlGutter w:val="0"/>
          <w:docGrid w:type="lines" w:linePitch="320" w:charSpace="0"/>
        </w:sectPr>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95"/>
        <w:gridCol w:w="240"/>
        <w:gridCol w:w="240"/>
        <w:gridCol w:w="1536"/>
        <w:gridCol w:w="793"/>
        <w:gridCol w:w="964"/>
        <w:gridCol w:w="1103"/>
        <w:gridCol w:w="1158"/>
        <w:gridCol w:w="1135"/>
        <w:gridCol w:w="11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892" w:hRule="atLeast"/>
        </w:trPr>
        <w:tc>
          <w:tcPr>
            <w:tcW w:w="8600" w:type="dxa"/>
            <w:gridSpan w:val="10"/>
            <w:tcBorders>
              <w:top w:val="nil"/>
              <w:left w:val="nil"/>
              <w:bottom w:val="single" w:color="auto" w:sz="4" w:space="0"/>
              <w:right w:val="nil"/>
            </w:tcBorders>
            <w:noWrap w:val="0"/>
            <w:tcMar>
              <w:top w:w="15" w:type="dxa"/>
              <w:left w:w="15" w:type="dxa"/>
              <w:right w:w="15" w:type="dxa"/>
            </w:tcMar>
            <w:vAlign w:val="center"/>
          </w:tcPr>
          <w:p>
            <w:pPr>
              <w:jc w:val="center"/>
              <w:rPr>
                <w:rFonts w:hint="eastAsia" w:ascii="黑体" w:hAnsi="宋体" w:eastAsia="黑体" w:cs="黑体"/>
                <w:i w:val="0"/>
                <w:color w:val="000000"/>
                <w:kern w:val="0"/>
                <w:sz w:val="32"/>
                <w:szCs w:val="32"/>
                <w:u w:val="none"/>
                <w:lang w:val="en-US" w:eastAsia="zh-CN" w:bidi="ar"/>
              </w:rPr>
            </w:pPr>
            <w:r>
              <w:rPr>
                <w:rFonts w:hint="eastAsia" w:ascii="黑体" w:hAnsi="宋体" w:eastAsia="黑体" w:cs="黑体"/>
                <w:i w:val="0"/>
                <w:color w:val="000000"/>
                <w:kern w:val="0"/>
                <w:sz w:val="32"/>
                <w:szCs w:val="32"/>
                <w:u w:val="none"/>
                <w:lang w:val="en-US" w:eastAsia="zh-CN" w:bidi="ar"/>
              </w:rPr>
              <w:t>支出决算表</w:t>
            </w:r>
          </w:p>
          <w:p>
            <w:pPr>
              <w:keepNext w:val="0"/>
              <w:keepLines w:val="0"/>
              <w:widowControl/>
              <w:suppressLineNumbers w:val="0"/>
              <w:jc w:val="right"/>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 xml:space="preserve">    </w:t>
            </w:r>
          </w:p>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公开</w:t>
            </w:r>
            <w:r>
              <w:rPr>
                <w:rFonts w:hint="eastAsia" w:ascii="宋体" w:hAnsi="宋体" w:cs="宋体"/>
                <w:i w:val="0"/>
                <w:color w:val="000000"/>
                <w:kern w:val="0"/>
                <w:sz w:val="18"/>
                <w:szCs w:val="18"/>
                <w:u w:val="none"/>
                <w:lang w:val="en-US" w:eastAsia="zh-CN" w:bidi="ar"/>
              </w:rPr>
              <w:t>03</w:t>
            </w:r>
            <w:r>
              <w:rPr>
                <w:rFonts w:hint="eastAsia" w:ascii="宋体" w:hAnsi="宋体" w:eastAsia="宋体" w:cs="宋体"/>
                <w:i w:val="0"/>
                <w:color w:val="000000"/>
                <w:kern w:val="0"/>
                <w:sz w:val="18"/>
                <w:szCs w:val="18"/>
                <w:u w:val="none"/>
                <w:lang w:val="en-US" w:eastAsia="zh-CN" w:bidi="ar"/>
              </w:rPr>
              <w:t>表</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（本级）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年度</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311"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上缴上级支出</w:t>
            </w: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经营支出</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对附属单位</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153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9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24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24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295"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54.54</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20805</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行政事业单位养老支出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54.54</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w:t>
            </w:r>
            <w:r>
              <w:rPr>
                <w:rFonts w:hint="eastAsia" w:ascii="宋体" w:hAnsi="宋体" w:cs="宋体"/>
                <w:i w:val="0"/>
                <w:color w:val="000000"/>
                <w:kern w:val="0"/>
                <w:sz w:val="18"/>
                <w:szCs w:val="18"/>
                <w:u w:val="none"/>
                <w:lang w:val="en-US" w:eastAsia="zh-CN" w:bidi="ar"/>
              </w:rPr>
              <w:t>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cs="宋体"/>
                <w:i w:val="0"/>
                <w:color w:val="000000"/>
                <w:kern w:val="0"/>
                <w:sz w:val="18"/>
                <w:szCs w:val="18"/>
                <w:u w:val="none"/>
                <w:lang w:val="en-US" w:eastAsia="zh-CN" w:bidi="ar"/>
              </w:rPr>
              <w:t>行政</w:t>
            </w:r>
            <w:r>
              <w:rPr>
                <w:rFonts w:hint="eastAsia" w:ascii="宋体" w:hAnsi="宋体" w:eastAsia="宋体" w:cs="宋体"/>
                <w:i w:val="0"/>
                <w:color w:val="000000"/>
                <w:kern w:val="0"/>
                <w:sz w:val="18"/>
                <w:szCs w:val="18"/>
                <w:u w:val="none"/>
                <w:lang w:val="en-US" w:eastAsia="zh-CN" w:bidi="ar"/>
              </w:rPr>
              <w:t>单位离退休</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5.36</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5.36</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rPr>
            </w:pPr>
            <w:r>
              <w:rPr>
                <w:rFonts w:hint="eastAsia" w:ascii="宋体" w:hAnsi="宋体" w:eastAsia="宋体" w:cs="宋体"/>
                <w:i w:val="0"/>
                <w:color w:val="000000"/>
                <w:kern w:val="0"/>
                <w:sz w:val="18"/>
                <w:szCs w:val="18"/>
                <w:u w:val="none"/>
                <w:lang w:val="en-US" w:eastAsia="zh-CN" w:bidi="ar"/>
              </w:rPr>
              <w:t>2080502</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rPr>
            </w:pPr>
            <w:r>
              <w:rPr>
                <w:rFonts w:hint="eastAsia" w:ascii="宋体" w:hAnsi="宋体" w:eastAsia="宋体" w:cs="宋体"/>
                <w:i w:val="0"/>
                <w:color w:val="000000"/>
                <w:kern w:val="0"/>
                <w:sz w:val="18"/>
                <w:szCs w:val="18"/>
                <w:u w:val="none"/>
                <w:lang w:val="en-US" w:eastAsia="zh-CN" w:bidi="ar"/>
              </w:rPr>
              <w:t xml:space="preserve">  事业单位离退休</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16.86</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16.86</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机关事业单位基本养老保险缴费支出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26.52</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26.52</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机关事业单位职业年金缴费支出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5.80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5.80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52.40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52.40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0.14</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0.14</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事业单位医疗</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44.40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44.40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2101103</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7.84</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7.84</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商业服务业等支出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417.46</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417.46</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21602</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商业流通事务</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417.46</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417.46</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250.98</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250.98</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2160202</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一般行政管理事务</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166.48</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166.48</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住房保障支出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25.39</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22102</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住房改革支出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2"/>
                <w:sz w:val="18"/>
                <w:szCs w:val="18"/>
                <w:u w:val="none"/>
                <w:lang w:val="en-US" w:eastAsia="zh-CN"/>
              </w:rPr>
            </w:pPr>
            <w:r>
              <w:rPr>
                <w:rFonts w:hint="eastAsia" w:ascii="宋体" w:hAnsi="宋体" w:cs="宋体"/>
                <w:b/>
                <w:i w:val="0"/>
                <w:color w:val="000000"/>
                <w:sz w:val="18"/>
                <w:szCs w:val="18"/>
                <w:u w:val="none"/>
                <w:lang w:val="en-US" w:eastAsia="zh-CN"/>
              </w:rPr>
              <w:t>25.39</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25.39</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25.39</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其他支出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22999</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其他支出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7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2299999</w:t>
            </w:r>
          </w:p>
        </w:tc>
        <w:tc>
          <w:tcPr>
            <w:tcW w:w="15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其他支出</w:t>
            </w:r>
          </w:p>
        </w:tc>
        <w:tc>
          <w:tcPr>
            <w:tcW w:w="79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96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8"/>
                <w:szCs w:val="18"/>
                <w:u w:val="none"/>
                <w:lang w:val="en-US" w:eastAsia="zh-CN"/>
              </w:rPr>
            </w:pPr>
            <w:r>
              <w:rPr>
                <w:rFonts w:hint="eastAsia" w:ascii="宋体" w:hAnsi="宋体" w:cs="宋体"/>
                <w:i w:val="0"/>
                <w:color w:val="000000"/>
                <w:sz w:val="18"/>
                <w:szCs w:val="18"/>
                <w:u w:val="none"/>
                <w:lang w:val="en-US" w:eastAsia="zh-CN"/>
              </w:rPr>
              <w:t>5.00</w:t>
            </w:r>
          </w:p>
        </w:tc>
        <w:tc>
          <w:tcPr>
            <w:tcW w:w="110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5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8600" w:type="dxa"/>
            <w:gridSpan w:val="10"/>
            <w:tcBorders>
              <w:top w:val="single" w:color="auto" w:sz="4" w:space="0"/>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注：本表反映部门本年度各项支出情况。</w:t>
            </w:r>
          </w:p>
        </w:tc>
      </w:tr>
    </w:tbl>
    <w:p/>
    <w:p>
      <w:pPr>
        <w:keepNext w:val="0"/>
        <w:keepLines w:val="0"/>
        <w:widowControl/>
        <w:suppressLineNumbers w:val="0"/>
        <w:jc w:val="both"/>
        <w:textAlignment w:val="center"/>
        <w:rPr>
          <w:rFonts w:hint="eastAsia" w:ascii="黑体" w:hAnsi="宋体" w:eastAsia="黑体" w:cs="黑体"/>
          <w:i w:val="0"/>
          <w:color w:val="000000"/>
          <w:kern w:val="0"/>
          <w:sz w:val="18"/>
          <w:szCs w:val="18"/>
          <w:u w:val="none"/>
          <w:lang w:val="en-US" w:eastAsia="zh-CN" w:bidi="ar"/>
        </w:rPr>
        <w:sectPr>
          <w:pgSz w:w="11906" w:h="16838"/>
          <w:pgMar w:top="1723" w:right="1633" w:bottom="1440" w:left="1633" w:header="851" w:footer="992" w:gutter="0"/>
          <w:cols w:space="720" w:num="1"/>
          <w:rtlGutter w:val="0"/>
          <w:docGrid w:type="lines" w:linePitch="312" w:charSpace="0"/>
        </w:sectPr>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14"/>
        <w:gridCol w:w="461"/>
        <w:gridCol w:w="620"/>
        <w:gridCol w:w="2487"/>
        <w:gridCol w:w="472"/>
        <w:gridCol w:w="664"/>
        <w:gridCol w:w="782"/>
        <w:gridCol w:w="793"/>
        <w:gridCol w:w="1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654" w:type="dxa"/>
            <w:gridSpan w:val="9"/>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outlineLvl w:val="9"/>
              <w:rPr>
                <w:rFonts w:ascii="黑体" w:hAnsi="宋体" w:eastAsia="黑体" w:cs="黑体"/>
                <w:i w:val="0"/>
                <w:color w:val="000000"/>
                <w:sz w:val="18"/>
                <w:szCs w:val="18"/>
                <w:u w:val="none"/>
              </w:rPr>
            </w:pPr>
            <w:r>
              <w:rPr>
                <w:rFonts w:hint="eastAsia" w:ascii="黑体" w:hAnsi="宋体" w:eastAsia="黑体" w:cs="黑体"/>
                <w:i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654" w:type="dxa"/>
            <w:gridSpan w:val="9"/>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654" w:type="dxa"/>
            <w:gridSpan w:val="9"/>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 xml:space="preserve">（本级）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 xml:space="preserve">年度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2395"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6259"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461"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620"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2487"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项目（按功能分类）</w:t>
            </w:r>
          </w:p>
        </w:tc>
        <w:tc>
          <w:tcPr>
            <w:tcW w:w="472"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3300" w:type="dxa"/>
            <w:gridSpan w:val="4"/>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461"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620"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472"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政府性基金预算财政拨款</w:t>
            </w: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533.31</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54.54</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54.54</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52.40</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52.40</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十四、资源勘探工业信息等支出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417.46</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417.46</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25.39</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25.39</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二十一、国有资本经营预算支出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二十二、灾害防治及应急管理支出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二十三、其他支出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二十四、债务还本支出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b/>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二十五、债务付息支出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二十六、抗疫特别国债安排的支出</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533.31</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21.48</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21.48</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left"/>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b/>
                <w:i w:val="0"/>
                <w:color w:val="000000"/>
                <w:sz w:val="18"/>
                <w:szCs w:val="18"/>
                <w:u w:val="none"/>
              </w:rPr>
            </w:pP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三、国有资本经营预算财政拨款</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b/>
                <w:i w:val="0"/>
                <w:color w:val="000000"/>
                <w:sz w:val="18"/>
                <w:szCs w:val="18"/>
                <w:u w:val="none"/>
              </w:rPr>
            </w:pP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outlineLvl w:val="9"/>
              <w:rPr>
                <w:rFonts w:hint="eastAsia" w:ascii="宋体" w:hAnsi="宋体" w:eastAsia="宋体" w:cs="宋体"/>
                <w:i w:val="0"/>
                <w:color w:val="000000"/>
                <w:sz w:val="18"/>
                <w:szCs w:val="18"/>
                <w:u w:val="none"/>
              </w:rPr>
            </w:pP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right"/>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131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62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248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47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64</w:t>
            </w:r>
          </w:p>
        </w:tc>
        <w:tc>
          <w:tcPr>
            <w:tcW w:w="664"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78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outlineLvl w:val="9"/>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79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c>
          <w:tcPr>
            <w:tcW w:w="10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outlineLvl w:val="9"/>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654" w:type="dxa"/>
            <w:gridSpan w:val="9"/>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注：本表反映部门本年度一般公共预算财政拨款、政府性基金预算财政拨款和国有资本经营预算财政拨款的总收支和年末结转结余情况。</w:t>
            </w:r>
          </w:p>
        </w:tc>
      </w:tr>
    </w:tbl>
    <w:p>
      <w:pPr>
        <w:autoSpaceDE w:val="0"/>
        <w:autoSpaceDN w:val="0"/>
        <w:adjustRightInd w:val="0"/>
        <w:spacing w:line="360" w:lineRule="auto"/>
        <w:jc w:val="left"/>
        <w:sectPr>
          <w:pgSz w:w="11906" w:h="16838"/>
          <w:pgMar w:top="1723" w:right="1633" w:bottom="1440" w:left="1633" w:header="851" w:footer="992" w:gutter="0"/>
          <w:cols w:space="720" w:num="1"/>
          <w:rtlGutter w:val="0"/>
          <w:docGrid w:type="lines" w:linePitch="320" w:charSpace="0"/>
        </w:sectPr>
      </w:pPr>
    </w:p>
    <w:p>
      <w:pPr>
        <w:autoSpaceDE w:val="0"/>
        <w:autoSpaceDN w:val="0"/>
        <w:adjustRightInd w:val="0"/>
        <w:spacing w:line="360" w:lineRule="auto"/>
        <w:jc w:val="left"/>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36"/>
        <w:gridCol w:w="225"/>
        <w:gridCol w:w="246"/>
        <w:gridCol w:w="3257"/>
        <w:gridCol w:w="1468"/>
        <w:gridCol w:w="1460"/>
        <w:gridCol w:w="94"/>
        <w:gridCol w:w="90"/>
        <w:gridCol w:w="13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3"/>
          <w:wAfter w:w="1487" w:type="dxa"/>
          <w:trHeight w:val="555" w:hRule="atLeast"/>
        </w:trPr>
        <w:tc>
          <w:tcPr>
            <w:tcW w:w="7092" w:type="dxa"/>
            <w:gridSpan w:val="6"/>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 xml:space="preserve">         </w:t>
            </w:r>
            <w:r>
              <w:rPr>
                <w:rFonts w:hint="eastAsia" w:ascii="黑体" w:hAnsi="宋体" w:eastAsia="黑体" w:cs="黑体"/>
                <w:i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579" w:type="dxa"/>
            <w:gridSpan w:val="9"/>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579" w:type="dxa"/>
            <w:gridSpan w:val="9"/>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 xml:space="preserve">（本级）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年度             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4164"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1468"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1554"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393"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vMerge w:val="restar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3257"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468"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54" w:type="dxa"/>
            <w:gridSpan w:val="2"/>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93" w:type="dxa"/>
            <w:gridSpan w:val="2"/>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907"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57"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8"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54" w:type="dxa"/>
            <w:gridSpan w:val="2"/>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93" w:type="dxa"/>
            <w:gridSpan w:val="2"/>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57"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68"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54" w:type="dxa"/>
            <w:gridSpan w:val="2"/>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93" w:type="dxa"/>
            <w:gridSpan w:val="2"/>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436" w:type="dxa"/>
            <w:vMerge w:val="restart"/>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225"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246"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3257"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468"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54"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93"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436"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6"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554.79</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208</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社会保障和就业支出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54.54</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20805</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行政事业单位养老支出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54.54</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54.54</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2080501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 xml:space="preserve">  行政单位离退休</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val="0"/>
                <w:bCs/>
                <w:i w:val="0"/>
                <w:color w:val="000000"/>
                <w:sz w:val="18"/>
                <w:szCs w:val="18"/>
                <w:u w:val="none"/>
                <w:lang w:val="en-US" w:eastAsia="zh-CN"/>
              </w:rPr>
            </w:pPr>
            <w:r>
              <w:rPr>
                <w:rFonts w:hint="eastAsia" w:ascii="宋体" w:hAnsi="宋体" w:cs="宋体"/>
                <w:b w:val="0"/>
                <w:bCs/>
                <w:i w:val="0"/>
                <w:color w:val="000000"/>
                <w:sz w:val="18"/>
                <w:szCs w:val="18"/>
                <w:u w:val="none"/>
                <w:lang w:val="en-US" w:eastAsia="zh-CN"/>
              </w:rPr>
              <w:t>5.36</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val="0"/>
                <w:bCs/>
                <w:i w:val="0"/>
                <w:color w:val="000000"/>
                <w:sz w:val="18"/>
                <w:szCs w:val="18"/>
                <w:u w:val="none"/>
                <w:lang w:val="en-US" w:eastAsia="zh-CN"/>
              </w:rPr>
            </w:pPr>
            <w:r>
              <w:rPr>
                <w:rFonts w:hint="eastAsia" w:ascii="宋体" w:hAnsi="宋体" w:cs="宋体"/>
                <w:b w:val="0"/>
                <w:bCs/>
                <w:i w:val="0"/>
                <w:color w:val="000000"/>
                <w:sz w:val="18"/>
                <w:szCs w:val="18"/>
                <w:u w:val="none"/>
                <w:lang w:val="en-US" w:eastAsia="zh-CN"/>
              </w:rPr>
              <w:t>5.36</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b/>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2080502</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事业单位离退休</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16.86</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16.86</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26.52</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26.52</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机关事业单位职业年金缴费支出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5.80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5.80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卫生健康支出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52.40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21011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行政事业单位医疗</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52.40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52.40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0.14</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0.14</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2101102</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事业单位医疗</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44.42</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44.42</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2101103</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7.84</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7.84</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商业服务业等支出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417.46</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417.46</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21602</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商业流通事务</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417.46</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417.46</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250.98</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250.98</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2160202</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一般行政管理事务</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166.48</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166.48</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住房保障支出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25.39</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22102</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住房改革支出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cs="宋体"/>
                <w:b/>
                <w:i w:val="0"/>
                <w:color w:val="000000"/>
                <w:sz w:val="18"/>
                <w:szCs w:val="18"/>
                <w:u w:val="none"/>
                <w:lang w:val="en-US" w:eastAsia="zh-CN"/>
              </w:rPr>
              <w:t>25.39</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18"/>
                <w:szCs w:val="18"/>
                <w:u w:val="none"/>
                <w:lang w:val="en-US" w:eastAsia="zh-CN"/>
              </w:rPr>
            </w:pPr>
            <w:r>
              <w:rPr>
                <w:rFonts w:hint="eastAsia" w:ascii="宋体" w:hAnsi="宋体" w:cs="宋体"/>
                <w:b/>
                <w:i w:val="0"/>
                <w:color w:val="000000"/>
                <w:sz w:val="18"/>
                <w:szCs w:val="18"/>
                <w:u w:val="none"/>
                <w:lang w:val="en-US" w:eastAsia="zh-CN"/>
              </w:rPr>
              <w:t>25.39</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i w:val="0"/>
                <w:color w:val="000000"/>
                <w:sz w:val="18"/>
                <w:szCs w:val="18"/>
                <w:u w:val="none"/>
                <w:lang w:val="en-US" w:eastAsia="zh-CN"/>
              </w:rPr>
              <w:t>25.39</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25.39</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229</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其他支出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22999</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其他支出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2299999</w:t>
            </w:r>
          </w:p>
        </w:tc>
        <w:tc>
          <w:tcPr>
            <w:tcW w:w="3257"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val="0"/>
                <w:bCs/>
                <w:i w:val="0"/>
                <w:color w:val="000000"/>
                <w:kern w:val="0"/>
                <w:sz w:val="18"/>
                <w:szCs w:val="18"/>
                <w:u w:val="none"/>
                <w:lang w:val="en-US" w:eastAsia="zh-CN" w:bidi="ar"/>
              </w:rPr>
            </w:pPr>
            <w:r>
              <w:rPr>
                <w:rFonts w:hint="eastAsia" w:ascii="宋体" w:hAnsi="宋体" w:eastAsia="宋体" w:cs="宋体"/>
                <w:b w:val="0"/>
                <w:bCs/>
                <w:i w:val="0"/>
                <w:color w:val="000000"/>
                <w:kern w:val="0"/>
                <w:sz w:val="18"/>
                <w:szCs w:val="18"/>
                <w:u w:val="none"/>
                <w:lang w:val="en-US" w:eastAsia="zh-CN" w:bidi="ar"/>
              </w:rPr>
              <w:t xml:space="preserve">  其他支出</w:t>
            </w:r>
          </w:p>
        </w:tc>
        <w:tc>
          <w:tcPr>
            <w:tcW w:w="1468"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554"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5.00</w:t>
            </w:r>
          </w:p>
        </w:tc>
        <w:tc>
          <w:tcPr>
            <w:tcW w:w="1393"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8579" w:type="dxa"/>
            <w:gridSpan w:val="9"/>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注：本表反映部门本年度一般公共预算财政拨款支出情况。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303" w:type="dxa"/>
          <w:trHeight w:val="255" w:hRule="atLeast"/>
        </w:trPr>
        <w:tc>
          <w:tcPr>
            <w:tcW w:w="436" w:type="dxa"/>
            <w:tcBorders>
              <w:top w:val="nil"/>
              <w:left w:val="nil"/>
              <w:bottom w:val="nil"/>
              <w:right w:val="nil"/>
            </w:tcBorders>
            <w:noWrap w:val="0"/>
            <w:tcMar>
              <w:top w:w="15" w:type="dxa"/>
              <w:left w:w="15" w:type="dxa"/>
              <w:right w:w="15" w:type="dxa"/>
            </w:tcMar>
            <w:vAlign w:val="bottom"/>
          </w:tcPr>
          <w:p>
            <w:pPr>
              <w:rPr>
                <w:rFonts w:hint="eastAsia" w:ascii="Arial" w:hAnsi="Arial" w:cs="Arial"/>
                <w:i w:val="0"/>
                <w:color w:val="000000"/>
                <w:sz w:val="20"/>
                <w:szCs w:val="20"/>
                <w:u w:val="none"/>
              </w:rPr>
            </w:pPr>
          </w:p>
        </w:tc>
        <w:tc>
          <w:tcPr>
            <w:tcW w:w="225" w:type="dxa"/>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c>
          <w:tcPr>
            <w:tcW w:w="246" w:type="dxa"/>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c>
          <w:tcPr>
            <w:tcW w:w="3257" w:type="dxa"/>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c>
          <w:tcPr>
            <w:tcW w:w="1468" w:type="dxa"/>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c>
          <w:tcPr>
            <w:tcW w:w="1554" w:type="dxa"/>
            <w:gridSpan w:val="2"/>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c>
          <w:tcPr>
            <w:tcW w:w="90" w:type="dxa"/>
            <w:tcBorders>
              <w:top w:val="nil"/>
              <w:left w:val="nil"/>
              <w:bottom w:val="nil"/>
              <w:right w:val="nil"/>
            </w:tcBorders>
            <w:noWrap w:val="0"/>
            <w:tcMar>
              <w:top w:w="15" w:type="dxa"/>
              <w:left w:w="15" w:type="dxa"/>
              <w:right w:w="15" w:type="dxa"/>
            </w:tcMar>
            <w:vAlign w:val="bottom"/>
          </w:tcPr>
          <w:p>
            <w:pPr>
              <w:rPr>
                <w:rFonts w:hint="default" w:ascii="Arial" w:hAnsi="Arial" w:cs="Arial"/>
                <w:i w:val="0"/>
                <w:color w:val="000000"/>
                <w:sz w:val="20"/>
                <w:szCs w:val="20"/>
                <w:u w:val="none"/>
              </w:rPr>
            </w:pPr>
          </w:p>
        </w:tc>
      </w:tr>
    </w:tbl>
    <w:p>
      <w:pPr>
        <w:autoSpaceDE w:val="0"/>
        <w:autoSpaceDN w:val="0"/>
        <w:adjustRightInd w:val="0"/>
        <w:spacing w:line="360" w:lineRule="auto"/>
        <w:jc w:val="left"/>
        <w:sectPr>
          <w:pgSz w:w="11906" w:h="16838"/>
          <w:pgMar w:top="2098" w:right="1587" w:bottom="2098" w:left="1587" w:header="851" w:footer="992" w:gutter="0"/>
          <w:cols w:space="0" w:num="1"/>
          <w:rtlGutter w:val="0"/>
          <w:docGrid w:type="lines" w:linePitch="312" w:charSpace="0"/>
        </w:sectPr>
      </w:pPr>
    </w:p>
    <w:p>
      <w:pPr>
        <w:autoSpaceDE w:val="0"/>
        <w:autoSpaceDN w:val="0"/>
        <w:adjustRightInd w:val="0"/>
        <w:spacing w:line="360" w:lineRule="auto"/>
        <w:jc w:val="left"/>
      </w:pPr>
    </w:p>
    <w:tbl>
      <w:tblPr>
        <w:tblStyle w:val="2"/>
        <w:tblW w:w="88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21"/>
        <w:gridCol w:w="1500"/>
        <w:gridCol w:w="740"/>
        <w:gridCol w:w="621"/>
        <w:gridCol w:w="132"/>
        <w:gridCol w:w="1207"/>
        <w:gridCol w:w="218"/>
        <w:gridCol w:w="757"/>
        <w:gridCol w:w="1053"/>
        <w:gridCol w:w="76"/>
        <w:gridCol w:w="1381"/>
        <w:gridCol w:w="419"/>
        <w:gridCol w:w="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835" w:type="dxa"/>
            <w:gridSpan w:val="13"/>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ascii="黑体" w:hAnsi="宋体" w:eastAsia="黑体" w:cs="黑体"/>
                <w:i w:val="0"/>
                <w:color w:val="000000"/>
                <w:sz w:val="44"/>
                <w:szCs w:val="44"/>
                <w:u w:val="none"/>
              </w:rPr>
            </w:pPr>
            <w:r>
              <w:rPr>
                <w:rFonts w:hint="eastAsia" w:ascii="黑体" w:hAnsi="宋体" w:eastAsia="黑体" w:cs="黑体"/>
                <w:i w:val="0"/>
                <w:color w:val="000000"/>
                <w:kern w:val="0"/>
                <w:sz w:val="30"/>
                <w:szCs w:val="30"/>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835" w:type="dxa"/>
            <w:gridSpan w:val="13"/>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righ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835" w:type="dxa"/>
            <w:gridSpan w:val="13"/>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（本级）                20</w:t>
            </w:r>
            <w:r>
              <w:rPr>
                <w:rFonts w:hint="eastAsia" w:ascii="宋体" w:hAnsi="宋体" w:cs="宋体"/>
                <w:i w:val="0"/>
                <w:color w:val="000000"/>
                <w:kern w:val="0"/>
                <w:sz w:val="18"/>
                <w:szCs w:val="18"/>
                <w:u w:val="none"/>
                <w:lang w:val="en-US" w:eastAsia="zh-CN" w:bidi="ar"/>
              </w:rPr>
              <w:t>21</w:t>
            </w:r>
            <w:r>
              <w:rPr>
                <w:rFonts w:hint="eastAsia" w:ascii="宋体" w:hAnsi="宋体" w:eastAsia="宋体" w:cs="宋体"/>
                <w:i w:val="0"/>
                <w:color w:val="000000"/>
                <w:kern w:val="0"/>
                <w:sz w:val="18"/>
                <w:szCs w:val="18"/>
                <w:u w:val="none"/>
                <w:lang w:val="en-US" w:eastAsia="zh-CN" w:bidi="ar"/>
              </w:rPr>
              <w:t>年度                    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2761"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人员经费</w:t>
            </w:r>
          </w:p>
        </w:tc>
        <w:tc>
          <w:tcPr>
            <w:tcW w:w="6074"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经济分类科目编码</w:t>
            </w:r>
          </w:p>
        </w:tc>
        <w:tc>
          <w:tcPr>
            <w:tcW w:w="1500"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科目名称</w:t>
            </w:r>
          </w:p>
        </w:tc>
        <w:tc>
          <w:tcPr>
            <w:tcW w:w="740"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金额</w:t>
            </w:r>
          </w:p>
        </w:tc>
        <w:tc>
          <w:tcPr>
            <w:tcW w:w="621"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经济分类科目编码</w:t>
            </w:r>
          </w:p>
        </w:tc>
        <w:tc>
          <w:tcPr>
            <w:tcW w:w="1339"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科目名称</w:t>
            </w:r>
          </w:p>
        </w:tc>
        <w:tc>
          <w:tcPr>
            <w:tcW w:w="975"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金额</w:t>
            </w:r>
          </w:p>
        </w:tc>
        <w:tc>
          <w:tcPr>
            <w:tcW w:w="1053"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经济分类科目编码</w:t>
            </w:r>
          </w:p>
        </w:tc>
        <w:tc>
          <w:tcPr>
            <w:tcW w:w="1457"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科目名称</w:t>
            </w:r>
          </w:p>
        </w:tc>
        <w:tc>
          <w:tcPr>
            <w:tcW w:w="629"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301</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工资福利支出</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372.35</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302</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商品和服务支出</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104.35</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307</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债务利息及费用支出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30101</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基本工资</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96.39</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30201</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办公费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7.98</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30701</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国内债务付息</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30102</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津贴补贴</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65.04</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30202</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印刷费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1.22</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30702</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国外债务付息</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30103</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奖金</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98.91</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30203</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咨询费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30703</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国内债务发行费用</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30106</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伙食补助费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30204</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手续费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30704</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国外债务发行费用</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30107</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绩效工资</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30205</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水费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310</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资本性支出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30108</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机关事业单位基本养老保险缴费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26.52</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30206</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电费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31001</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房屋建筑物购建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30109</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职业年金缴费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5.80</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30207</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邮电费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5.54</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31002</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办公设备购置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4.68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30110</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职工基本医疗保险缴费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44.56</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30208</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取暖费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31003</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专用设备购置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30111</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公务员医疗补助缴款</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7.84</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30209</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物业管理费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31005</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基础设施建设</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30112</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其他社会保障缴费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30211</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差旅费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14.38</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31006</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大型修缮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30113</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住房公积金</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kern w:val="2"/>
                <w:sz w:val="15"/>
                <w:szCs w:val="15"/>
                <w:u w:val="none"/>
                <w:lang w:val="en-US" w:eastAsia="zh-CN"/>
              </w:rPr>
            </w:pPr>
            <w:r>
              <w:rPr>
                <w:rFonts w:hint="eastAsia" w:ascii="宋体" w:hAnsi="宋体" w:cs="宋体"/>
                <w:i w:val="0"/>
                <w:color w:val="000000"/>
                <w:sz w:val="15"/>
                <w:szCs w:val="15"/>
                <w:u w:val="none"/>
                <w:lang w:val="en-US" w:eastAsia="zh-CN"/>
              </w:rPr>
              <w:t>25.39</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30212</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因公出国（境）费用</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31007</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信息网络及软件购置更新</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30114</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医疗费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kern w:val="2"/>
                <w:sz w:val="15"/>
                <w:szCs w:val="15"/>
                <w:u w:val="none"/>
                <w:lang w:val="en-US" w:eastAsia="zh-CN"/>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30213</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维修（护）费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31008</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物资储备</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30199</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其他工资福利支出</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kern w:val="2"/>
                <w:sz w:val="15"/>
                <w:szCs w:val="15"/>
                <w:u w:val="none"/>
                <w:lang w:val="en-US" w:eastAsia="zh-CN"/>
              </w:rPr>
            </w:pPr>
            <w:r>
              <w:rPr>
                <w:rFonts w:hint="eastAsia" w:ascii="宋体" w:hAnsi="宋体" w:cs="宋体"/>
                <w:i w:val="0"/>
                <w:color w:val="000000"/>
                <w:sz w:val="15"/>
                <w:szCs w:val="15"/>
                <w:u w:val="none"/>
                <w:lang w:val="en-US" w:eastAsia="zh-CN"/>
              </w:rPr>
              <w:t>1.89</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30214</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租赁费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31009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土地补偿</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303</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对个人和家庭的补助</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kern w:val="2"/>
                <w:sz w:val="15"/>
                <w:szCs w:val="15"/>
                <w:u w:val="none"/>
                <w:lang w:val="en-US" w:eastAsia="zh-CN"/>
              </w:rPr>
            </w:pPr>
            <w:r>
              <w:rPr>
                <w:rFonts w:hint="eastAsia" w:ascii="宋体" w:hAnsi="宋体" w:cs="宋体"/>
                <w:i w:val="0"/>
                <w:color w:val="000000"/>
                <w:sz w:val="15"/>
                <w:szCs w:val="15"/>
                <w:u w:val="none"/>
                <w:lang w:val="en-US" w:eastAsia="zh-CN"/>
              </w:rPr>
              <w:t>73.42</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30215</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会议费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18.93</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31010</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安置补助</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30301</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离休费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kern w:val="2"/>
                <w:sz w:val="15"/>
                <w:szCs w:val="15"/>
                <w:u w:val="none"/>
                <w:lang w:val="en-US" w:eastAsia="zh-CN"/>
              </w:rPr>
            </w:pPr>
            <w:r>
              <w:rPr>
                <w:rFonts w:hint="eastAsia" w:ascii="宋体" w:hAnsi="宋体" w:cs="宋体"/>
                <w:i w:val="0"/>
                <w:color w:val="000000"/>
                <w:sz w:val="15"/>
                <w:szCs w:val="15"/>
                <w:u w:val="none"/>
                <w:lang w:val="en-US" w:eastAsia="zh-CN"/>
              </w:rPr>
              <w:t>22.22</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30216</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培训费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0.38</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310111</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地上附着物和青苗补偿</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30302</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退休费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30217</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公务接待费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3.29</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31012</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拆迁补偿</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30303</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退职（役）费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30218</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专用材料费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31013</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公务用车购置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30304</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抚恤金</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30224</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被装购置费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31019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其他交通工具购置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30305</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生活补贴</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2.28</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30225</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专用燃料费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31021</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文物和陈列品购置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30306</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救济费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30226</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劳务费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31022</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无形资产购置</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30307</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医疗费补助</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30227</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委托业务费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31099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其他资本性支出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30308</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助学金</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30228</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工会经费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2.76</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312</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对企业补助</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30309</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奖励金</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48.92</w:t>
            </w: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30229</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福利费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9.68</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31201</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资本金注入</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30310</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个人农业生产补贴</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30231</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公务用车运行维护费</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31203</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政府投资基金股权投资</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30311</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代缴社会保险费</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30239</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其他交通费用</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23.11</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31204</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费用补贴</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30399</w:t>
            </w: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其他对个人和家庭的补助支出</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30240</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税金及附加费用</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31205</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利息补贴</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30299</w:t>
            </w: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其他商品和服务支出</w:t>
            </w: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17.07</w:t>
            </w: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31299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其他对企业补助</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399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其他支出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39906</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赠与</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39907</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国家赔偿费用支出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39908</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对民间非营利组织和群众性自治组织补贴</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521"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50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621" w:type="dxa"/>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1339" w:type="dxa"/>
            <w:gridSpan w:val="2"/>
            <w:tcBorders>
              <w:top w:val="nil"/>
              <w:left w:val="nil"/>
              <w:bottom w:val="single" w:color="000000" w:sz="4" w:space="0"/>
              <w:right w:val="single" w:color="000000" w:sz="4" w:space="0"/>
            </w:tcBorders>
            <w:noWrap w:val="0"/>
            <w:tcMar>
              <w:top w:w="15" w:type="dxa"/>
              <w:left w:w="15" w:type="dxa"/>
              <w:right w:w="15" w:type="dxa"/>
            </w:tcMar>
            <w:vAlign w:val="bottom"/>
          </w:tcPr>
          <w:p>
            <w:pPr>
              <w:keepNext w:val="0"/>
              <w:keepLines w:val="0"/>
              <w:pageBreakBefore w:val="0"/>
              <w:kinsoku/>
              <w:wordWrap/>
              <w:overflowPunct/>
              <w:topLinePunct w:val="0"/>
              <w:bidi w:val="0"/>
              <w:snapToGrid/>
              <w:spacing w:line="240" w:lineRule="exact"/>
              <w:jc w:val="left"/>
              <w:outlineLvl w:val="9"/>
              <w:rPr>
                <w:rFonts w:hint="eastAsia" w:ascii="宋体" w:hAnsi="宋体" w:eastAsia="宋体" w:cs="宋体"/>
                <w:i w:val="0"/>
                <w:color w:val="000000"/>
                <w:sz w:val="15"/>
                <w:szCs w:val="15"/>
                <w:u w:val="none"/>
              </w:rPr>
            </w:pPr>
          </w:p>
        </w:tc>
        <w:tc>
          <w:tcPr>
            <w:tcW w:w="97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kinsoku/>
              <w:wordWrap/>
              <w:overflowPunct/>
              <w:topLinePunct w:val="0"/>
              <w:bidi w:val="0"/>
              <w:snapToGrid/>
              <w:spacing w:line="240" w:lineRule="exact"/>
              <w:jc w:val="center"/>
              <w:outlineLvl w:val="9"/>
              <w:rPr>
                <w:rFonts w:hint="eastAsia" w:ascii="宋体" w:hAnsi="宋体" w:eastAsia="宋体" w:cs="宋体"/>
                <w:i w:val="0"/>
                <w:color w:val="000000"/>
                <w:sz w:val="15"/>
                <w:szCs w:val="15"/>
                <w:u w:val="none"/>
              </w:rPr>
            </w:pPr>
          </w:p>
        </w:tc>
        <w:tc>
          <w:tcPr>
            <w:tcW w:w="1053"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39999</w:t>
            </w:r>
          </w:p>
        </w:tc>
        <w:tc>
          <w:tcPr>
            <w:tcW w:w="1457"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 xml:space="preserve">  其他支出</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2021" w:type="dxa"/>
            <w:gridSpan w:val="2"/>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人员经费合计</w:t>
            </w:r>
          </w:p>
        </w:tc>
        <w:tc>
          <w:tcPr>
            <w:tcW w:w="740"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445.77</w:t>
            </w:r>
          </w:p>
        </w:tc>
        <w:tc>
          <w:tcPr>
            <w:tcW w:w="5445" w:type="dxa"/>
            <w:gridSpan w:val="8"/>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公用支出合计</w:t>
            </w:r>
          </w:p>
        </w:tc>
        <w:tc>
          <w:tcPr>
            <w:tcW w:w="629"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center"/>
              <w:textAlignment w:val="center"/>
              <w:outlineLvl w:val="9"/>
              <w:rPr>
                <w:rFonts w:hint="default" w:ascii="宋体" w:hAnsi="宋体" w:eastAsia="宋体" w:cs="宋体"/>
                <w:i w:val="0"/>
                <w:color w:val="000000"/>
                <w:sz w:val="15"/>
                <w:szCs w:val="15"/>
                <w:u w:val="none"/>
                <w:lang w:val="en-US" w:eastAsia="zh-CN"/>
              </w:rPr>
            </w:pPr>
            <w:r>
              <w:rPr>
                <w:rFonts w:hint="eastAsia" w:ascii="宋体" w:hAnsi="宋体" w:cs="宋体"/>
                <w:i w:val="0"/>
                <w:color w:val="000000"/>
                <w:sz w:val="15"/>
                <w:szCs w:val="15"/>
                <w:u w:val="none"/>
                <w:lang w:val="en-US" w:eastAsia="zh-CN"/>
              </w:rPr>
              <w:t>109.02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8835" w:type="dxa"/>
            <w:gridSpan w:val="13"/>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240" w:lineRule="exact"/>
              <w:jc w:val="left"/>
              <w:textAlignment w:val="center"/>
              <w:outlineLvl w:val="9"/>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555" w:hRule="atLeast"/>
        </w:trPr>
        <w:tc>
          <w:tcPr>
            <w:tcW w:w="8625" w:type="dxa"/>
            <w:gridSpan w:val="1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30"/>
                <w:szCs w:val="30"/>
                <w:u w:val="none"/>
                <w:lang w:val="en-US" w:eastAsia="zh-CN" w:bidi="ar"/>
              </w:rPr>
            </w:pPr>
          </w:p>
          <w:p>
            <w:pPr>
              <w:keepNext w:val="0"/>
              <w:keepLines w:val="0"/>
              <w:widowControl/>
              <w:suppressLineNumbers w:val="0"/>
              <w:jc w:val="center"/>
              <w:textAlignment w:val="center"/>
              <w:rPr>
                <w:rFonts w:ascii="黑体" w:hAnsi="宋体" w:eastAsia="黑体" w:cs="黑体"/>
                <w:i w:val="0"/>
                <w:color w:val="000000"/>
                <w:sz w:val="18"/>
                <w:szCs w:val="18"/>
                <w:u w:val="none"/>
              </w:rPr>
            </w:pPr>
            <w:r>
              <w:rPr>
                <w:rFonts w:hint="eastAsia" w:ascii="黑体" w:hAnsi="宋体" w:eastAsia="黑体" w:cs="黑体"/>
                <w:i w:val="0"/>
                <w:color w:val="000000"/>
                <w:kern w:val="0"/>
                <w:sz w:val="30"/>
                <w:szCs w:val="30"/>
                <w:u w:val="none"/>
                <w:lang w:val="en-US" w:eastAsia="zh-CN" w:bidi="ar"/>
              </w:rPr>
              <w:t>一般公共预算财政拨款“三公”经费支出决算表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25" w:type="dxa"/>
            <w:gridSpan w:val="2"/>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886" w:type="dxa"/>
            <w:gridSpan w:val="3"/>
            <w:tcBorders>
              <w:top w:val="nil"/>
              <w:left w:val="nil"/>
              <w:bottom w:val="nil"/>
              <w:right w:val="nil"/>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800" w:type="dxa"/>
            <w:gridSpan w:val="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（本级）</w:t>
            </w:r>
          </w:p>
        </w:tc>
        <w:tc>
          <w:tcPr>
            <w:tcW w:w="1425" w:type="dxa"/>
            <w:gridSpan w:val="2"/>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r>
              <w:rPr>
                <w:rFonts w:hint="eastAsia" w:ascii="宋体" w:hAnsi="宋体" w:cs="宋体"/>
                <w:i w:val="0"/>
                <w:color w:val="000000"/>
                <w:kern w:val="0"/>
                <w:sz w:val="18"/>
                <w:szCs w:val="18"/>
                <w:u w:val="none"/>
                <w:lang w:val="en-US" w:eastAsia="zh-CN" w:bidi="ar"/>
              </w:rPr>
              <w:t>21</w:t>
            </w:r>
            <w:r>
              <w:rPr>
                <w:rFonts w:hint="eastAsia" w:ascii="宋体" w:hAnsi="宋体" w:eastAsia="宋体" w:cs="宋体"/>
                <w:i w:val="0"/>
                <w:color w:val="000000"/>
                <w:kern w:val="0"/>
                <w:sz w:val="18"/>
                <w:szCs w:val="18"/>
                <w:u w:val="none"/>
                <w:lang w:val="en-US" w:eastAsia="zh-CN" w:bidi="ar"/>
              </w:rPr>
              <w:t>年度</w:t>
            </w:r>
          </w:p>
        </w:tc>
        <w:tc>
          <w:tcPr>
            <w:tcW w:w="1886" w:type="dxa"/>
            <w:gridSpan w:val="3"/>
            <w:tcBorders>
              <w:top w:val="nil"/>
              <w:left w:val="nil"/>
              <w:bottom w:val="single" w:color="auto" w:sz="4" w:space="0"/>
              <w:right w:val="nil"/>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800" w:type="dxa"/>
            <w:gridSpan w:val="2"/>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30" w:hRule="atLeast"/>
        </w:trPr>
        <w:tc>
          <w:tcPr>
            <w:tcW w:w="3514" w:type="dxa"/>
            <w:gridSpan w:val="5"/>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1425"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886"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800"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1425"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86" w:type="dxa"/>
            <w:gridSpan w:val="3"/>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800" w:type="dxa"/>
            <w:gridSpan w:val="2"/>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一、“三公”经费支出</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12</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285"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1.因公出国（境）费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4</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2.公务用车购置及运行维护费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（1）公务用车购置费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（2）公务用车运行维护费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3.公务接待费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8</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（1）国内接待费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（2）国（境）外接待费</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二、相关统计数</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1.因公出国（境）团组数（个）</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2.因公出国（境）人次数（人）</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3.公务用车购置数（辆）</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4.公务用车保有量（辆）</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5.国内公务接待批次（个）</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其中：外事接待批次（个）</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6.国内公务接待人次（人）</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其中：外事接待人次（人）</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7.国（境）外公务接待批次（个）</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3514" w:type="dxa"/>
            <w:gridSpan w:val="5"/>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8.国（境）外公务接待人次（人）</w:t>
            </w:r>
          </w:p>
        </w:tc>
        <w:tc>
          <w:tcPr>
            <w:tcW w:w="1425"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886" w:type="dxa"/>
            <w:gridSpan w:val="3"/>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00" w:type="dxa"/>
            <w:gridSpan w:val="2"/>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210" w:type="dxa"/>
          <w:trHeight w:val="300" w:hRule="atLeast"/>
        </w:trPr>
        <w:tc>
          <w:tcPr>
            <w:tcW w:w="8625" w:type="dxa"/>
            <w:gridSpan w:val="12"/>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注：本表反映部门本年度“三公”经费支出预决算情况。</w:t>
            </w:r>
          </w:p>
        </w:tc>
      </w:tr>
    </w:tbl>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eastAsia="宋体"/>
          <w:szCs w:val="30"/>
          <w:lang w:eastAsia="zh-CN"/>
        </w:rPr>
      </w:pPr>
    </w:p>
    <w:p>
      <w:pPr>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line="360" w:lineRule="auto"/>
        <w:jc w:val="left"/>
        <w:rPr>
          <w:rFonts w:hint="eastAsia"/>
          <w:szCs w:val="30"/>
        </w:rPr>
      </w:pPr>
    </w:p>
    <w:p>
      <w:pPr>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line="360" w:lineRule="auto"/>
        <w:jc w:val="left"/>
        <w:rPr>
          <w:rFonts w:hint="eastAsia"/>
          <w:szCs w:val="30"/>
        </w:rPr>
      </w:pPr>
    </w:p>
    <w:p>
      <w:pPr>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line="360" w:lineRule="auto"/>
        <w:jc w:val="left"/>
        <w:rPr>
          <w:rFonts w:hint="eastAsia"/>
          <w:szCs w:val="30"/>
        </w:rPr>
      </w:pPr>
    </w:p>
    <w:p>
      <w:pPr>
        <w:pBdr>
          <w:top w:val="none" w:color="auto" w:sz="0" w:space="0"/>
          <w:left w:val="none" w:color="auto" w:sz="0" w:space="0"/>
          <w:bottom w:val="none" w:color="auto" w:sz="0" w:space="0"/>
          <w:right w:val="none" w:color="auto" w:sz="0" w:space="0"/>
          <w:between w:val="none" w:color="auto" w:sz="0" w:space="0"/>
        </w:pBdr>
        <w:autoSpaceDE w:val="0"/>
        <w:autoSpaceDN w:val="0"/>
        <w:adjustRightInd w:val="0"/>
        <w:spacing w:line="360" w:lineRule="auto"/>
        <w:jc w:val="left"/>
        <w:rPr>
          <w:rFonts w:hint="eastAsia"/>
          <w:szCs w:val="30"/>
        </w:rPr>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27"/>
        <w:gridCol w:w="327"/>
        <w:gridCol w:w="327"/>
        <w:gridCol w:w="1175"/>
        <w:gridCol w:w="1229"/>
        <w:gridCol w:w="1175"/>
        <w:gridCol w:w="610"/>
        <w:gridCol w:w="1175"/>
        <w:gridCol w:w="1175"/>
        <w:gridCol w:w="1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8743" w:type="dxa"/>
            <w:gridSpan w:val="10"/>
            <w:tcBorders>
              <w:top w:val="nil"/>
              <w:left w:val="nil"/>
              <w:bottom w:val="nil"/>
              <w:right w:val="nil"/>
            </w:tcBorders>
            <w:noWrap w:val="0"/>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743" w:type="dxa"/>
            <w:gridSpan w:val="10"/>
            <w:tcBorders>
              <w:top w:val="nil"/>
              <w:left w:val="nil"/>
              <w:bottom w:val="nil"/>
              <w:right w:val="nil"/>
            </w:tcBorders>
            <w:noWrap w:val="0"/>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743" w:type="dxa"/>
            <w:gridSpan w:val="10"/>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 xml:space="preserve">（本级）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 xml:space="preserve">年度       </w:t>
            </w:r>
            <w:r>
              <w:rPr>
                <w:rFonts w:hint="eastAsia" w:ascii="宋体" w:hAnsi="宋体" w:cs="宋体"/>
                <w:i w:val="0"/>
                <w:color w:val="000000"/>
                <w:kern w:val="0"/>
                <w:sz w:val="18"/>
                <w:szCs w:val="18"/>
                <w:u w:val="none"/>
                <w:lang w:val="en-US" w:eastAsia="zh-CN" w:bidi="ar"/>
              </w:rPr>
              <w:t xml:space="preserve"> </w:t>
            </w:r>
            <w:bookmarkStart w:id="0" w:name="_GoBack"/>
            <w:bookmarkEnd w:id="0"/>
            <w:r>
              <w:rPr>
                <w:rFonts w:hint="eastAsia" w:ascii="宋体" w:hAnsi="宋体" w:eastAsia="宋体" w:cs="宋体"/>
                <w:i w:val="0"/>
                <w:color w:val="000000"/>
                <w:kern w:val="0"/>
                <w:sz w:val="18"/>
                <w:szCs w:val="18"/>
                <w:u w:val="none"/>
                <w:lang w:val="en-US" w:eastAsia="zh-CN" w:bidi="ar"/>
              </w:rPr>
              <w:t xml:space="preserve">      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2156"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122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年初结转和</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结余</w:t>
            </w:r>
          </w:p>
        </w:tc>
        <w:tc>
          <w:tcPr>
            <w:tcW w:w="117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本年收入</w:t>
            </w:r>
          </w:p>
        </w:tc>
        <w:tc>
          <w:tcPr>
            <w:tcW w:w="2960"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w:t>
            </w:r>
          </w:p>
        </w:tc>
        <w:tc>
          <w:tcPr>
            <w:tcW w:w="1223"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81" w:type="dxa"/>
            <w:gridSpan w:val="3"/>
            <w:vMerge w:val="restar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1175"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229"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0"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1175"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175"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1223"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81"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9"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0"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81"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9"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0"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3"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0" w:hRule="atLeast"/>
        </w:trPr>
        <w:tc>
          <w:tcPr>
            <w:tcW w:w="327" w:type="dxa"/>
            <w:vMerge w:val="restart"/>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327"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327"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117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229"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17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610"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7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7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23"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327"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7"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7"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229"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0"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3"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981"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229"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0"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75"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3"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8743" w:type="dxa"/>
            <w:gridSpan w:val="10"/>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743" w:type="dxa"/>
            <w:gridSpan w:val="10"/>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说明：当此表数据为空时，即本部门无政府性基金预算财政拨款收入、支出。</w:t>
            </w:r>
          </w:p>
        </w:tc>
      </w:tr>
    </w:tbl>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rPr>
          <w:rFonts w:hint="eastAsia"/>
          <w:sz w:val="30"/>
          <w:szCs w:val="30"/>
        </w:rPr>
      </w:pPr>
    </w:p>
    <w:p>
      <w:pPr>
        <w:autoSpaceDE w:val="0"/>
        <w:autoSpaceDN w:val="0"/>
        <w:adjustRightInd w:val="0"/>
        <w:spacing w:line="360" w:lineRule="auto"/>
        <w:jc w:val="left"/>
        <w:rPr>
          <w:rFonts w:hint="eastAsia"/>
          <w:sz w:val="30"/>
          <w:szCs w:val="30"/>
        </w:rPr>
      </w:pPr>
    </w:p>
    <w:p>
      <w:pPr>
        <w:autoSpaceDE w:val="0"/>
        <w:autoSpaceDN w:val="0"/>
        <w:adjustRightInd w:val="0"/>
        <w:spacing w:line="360" w:lineRule="auto"/>
        <w:jc w:val="left"/>
        <w:rPr>
          <w:rFonts w:hint="eastAsia"/>
          <w:sz w:val="30"/>
          <w:szCs w:val="30"/>
        </w:rPr>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75"/>
        <w:gridCol w:w="589"/>
        <w:gridCol w:w="643"/>
        <w:gridCol w:w="1961"/>
        <w:gridCol w:w="1146"/>
        <w:gridCol w:w="1864"/>
        <w:gridCol w:w="1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841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hAnsi="宋体" w:eastAsia="黑体" w:cs="黑体"/>
                <w:i w:val="0"/>
                <w:color w:val="000000"/>
                <w:kern w:val="0"/>
                <w:sz w:val="30"/>
                <w:szCs w:val="30"/>
                <w:u w:val="none"/>
                <w:lang w:val="en-US" w:eastAsia="zh-CN" w:bidi="ar"/>
              </w:rPr>
              <w:t xml:space="preserve">      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41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410" w:type="dxa"/>
            <w:gridSpan w:val="7"/>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 xml:space="preserve">（本级）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年度</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907" w:type="dxa"/>
            <w:gridSpan w:val="3"/>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196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864"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53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907" w:type="dxa"/>
            <w:gridSpan w:val="3"/>
            <w:vMerge w:val="restart"/>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1961" w:type="dxa"/>
            <w:vMerge w:val="restart"/>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146"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4"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2"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907"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961"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46"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4"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2"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907" w:type="dxa"/>
            <w:gridSpan w:val="3"/>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961"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46"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64" w:type="dxa"/>
            <w:vMerge w:val="continue"/>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32" w:type="dxa"/>
            <w:vMerge w:val="continue"/>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675" w:type="dxa"/>
            <w:vMerge w:val="restart"/>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589"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643" w:type="dxa"/>
            <w:vMerge w:val="restart"/>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1961"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146"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864"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32"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675"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89"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3" w:type="dxa"/>
            <w:vMerge w:val="continue"/>
            <w:tcBorders>
              <w:top w:val="nil"/>
              <w:left w:val="nil"/>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61"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146"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64"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532"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907"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961" w:type="dxa"/>
            <w:tcBorders>
              <w:top w:val="nil"/>
              <w:left w:val="nil"/>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6"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64"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532" w:type="dxa"/>
            <w:tcBorders>
              <w:top w:val="nil"/>
              <w:left w:val="nil"/>
              <w:bottom w:val="single" w:color="000000" w:sz="4" w:space="0"/>
              <w:right w:val="single" w:color="000000" w:sz="4" w:space="0"/>
            </w:tcBorders>
            <w:noWrap w:val="0"/>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841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410"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说明：当此表数据为空时，即本部门无国有资本经营预算财政拨款支出。</w:t>
            </w:r>
          </w:p>
        </w:tc>
      </w:tr>
    </w:tbl>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054"/>
        <w:gridCol w:w="692"/>
        <w:gridCol w:w="10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8758" w:type="dxa"/>
            <w:gridSpan w:val="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44"/>
                <w:szCs w:val="44"/>
                <w:u w:val="none"/>
                <w:lang w:val="en-US" w:eastAsia="zh-CN" w:bidi="ar"/>
              </w:rPr>
            </w:pPr>
          </w:p>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黑体" w:hAnsi="宋体" w:eastAsia="黑体" w:cs="黑体"/>
                <w:i w:val="0"/>
                <w:color w:val="000000"/>
                <w:kern w:val="0"/>
                <w:sz w:val="30"/>
                <w:szCs w:val="30"/>
                <w:u w:val="none"/>
                <w:lang w:val="en-US" w:eastAsia="zh-CN" w:bidi="ar"/>
              </w:rPr>
              <w:t>国有资产占用情况表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758" w:type="dxa"/>
            <w:gridSpan w:val="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758" w:type="dxa"/>
            <w:gridSpan w:val="3"/>
            <w:tcBorders>
              <w:top w:val="nil"/>
              <w:left w:val="nil"/>
              <w:bottom w:val="single" w:color="auto"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编制单位：赣州市供销合作社</w:t>
            </w:r>
            <w:r>
              <w:rPr>
                <w:rFonts w:hint="eastAsia" w:ascii="宋体" w:hAnsi="宋体" w:cs="宋体"/>
                <w:i w:val="0"/>
                <w:color w:val="000000"/>
                <w:kern w:val="0"/>
                <w:sz w:val="18"/>
                <w:szCs w:val="18"/>
                <w:u w:val="none"/>
                <w:lang w:val="en-US" w:eastAsia="zh-CN" w:bidi="ar"/>
              </w:rPr>
              <w:t>联合社</w:t>
            </w:r>
            <w:r>
              <w:rPr>
                <w:rFonts w:hint="eastAsia" w:ascii="宋体" w:hAnsi="宋体" w:eastAsia="宋体" w:cs="宋体"/>
                <w:i w:val="0"/>
                <w:color w:val="000000"/>
                <w:kern w:val="0"/>
                <w:sz w:val="18"/>
                <w:szCs w:val="18"/>
                <w:u w:val="none"/>
                <w:lang w:val="en-US" w:eastAsia="zh-CN" w:bidi="ar"/>
              </w:rPr>
              <w:t xml:space="preserve">（本级）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 xml:space="preserve">年度     </w:t>
            </w:r>
            <w:r>
              <w:rPr>
                <w:rFonts w:hint="eastAsia" w:ascii="宋体" w:hAnsi="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 xml:space="preserve">   单位：台、量、套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6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0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一、车辆数合计(台、辆)</w:t>
            </w:r>
          </w:p>
        </w:tc>
        <w:tc>
          <w:tcPr>
            <w:tcW w:w="692"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12"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1.副部（省）级及以上领导用车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2.主要领导干部用车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3.机要通信用车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4.应急保障用车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5.执法执勤用车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6.特种专业技术用车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7.离退休干部用车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8.其他用车</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二、单价50万元（含）以上通用设备（台，套）</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05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三、单价100万元（含）以上专用设备（台，套）</w:t>
            </w:r>
          </w:p>
        </w:tc>
        <w:tc>
          <w:tcPr>
            <w:tcW w:w="69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012" w:type="dxa"/>
            <w:tcBorders>
              <w:top w:val="nil"/>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8758" w:type="dxa"/>
            <w:gridSpan w:val="3"/>
            <w:tcBorders>
              <w:top w:val="nil"/>
              <w:left w:val="single" w:color="000000" w:sz="4" w:space="0"/>
              <w:bottom w:val="single" w:color="000000" w:sz="4" w:space="0"/>
              <w:right w:val="single" w:color="000000" w:sz="4" w:space="0"/>
            </w:tcBorders>
            <w:noWrap w:val="0"/>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注：本表反映截止202</w:t>
            </w:r>
            <w:r>
              <w:rPr>
                <w:rFonts w:hint="eastAsia" w:ascii="宋体" w:hAnsi="宋体" w:cs="宋体"/>
                <w:i w:val="0"/>
                <w:color w:val="000000"/>
                <w:kern w:val="0"/>
                <w:sz w:val="18"/>
                <w:szCs w:val="18"/>
                <w:u w:val="none"/>
                <w:lang w:val="en-US" w:eastAsia="zh-CN" w:bidi="ar"/>
              </w:rPr>
              <w:t>1</w:t>
            </w:r>
            <w:r>
              <w:rPr>
                <w:rFonts w:hint="eastAsia" w:ascii="宋体" w:hAnsi="宋体" w:eastAsia="宋体" w:cs="宋体"/>
                <w:i w:val="0"/>
                <w:color w:val="000000"/>
                <w:kern w:val="0"/>
                <w:sz w:val="18"/>
                <w:szCs w:val="18"/>
                <w:u w:val="none"/>
                <w:lang w:val="en-US" w:eastAsia="zh-CN" w:bidi="ar"/>
              </w:rPr>
              <w:t>年12月31日，部门占用的国有资产情况。</w:t>
            </w:r>
          </w:p>
        </w:tc>
      </w:tr>
    </w:tbl>
    <w:p/>
    <w:sectPr>
      <w:pgSz w:w="11906" w:h="16838"/>
      <w:pgMar w:top="1701" w:right="1587" w:bottom="1701"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ZWZiMWJjZWY1M2EwYTk4YmU0ZjA3ZGI5YTMyYjkifQ=="/>
  </w:docVars>
  <w:rsids>
    <w:rsidRoot w:val="78973663"/>
    <w:rsid w:val="02DE354D"/>
    <w:rsid w:val="042C147D"/>
    <w:rsid w:val="150752EF"/>
    <w:rsid w:val="1C7F476E"/>
    <w:rsid w:val="1F943979"/>
    <w:rsid w:val="2F9B101B"/>
    <w:rsid w:val="363C2219"/>
    <w:rsid w:val="36AC7824"/>
    <w:rsid w:val="3A9903D7"/>
    <w:rsid w:val="41B00705"/>
    <w:rsid w:val="41FA3A49"/>
    <w:rsid w:val="42897BA7"/>
    <w:rsid w:val="450F2781"/>
    <w:rsid w:val="457456F8"/>
    <w:rsid w:val="4A975468"/>
    <w:rsid w:val="4ADF7587"/>
    <w:rsid w:val="4D986E76"/>
    <w:rsid w:val="516F0F6F"/>
    <w:rsid w:val="593A67EA"/>
    <w:rsid w:val="78973663"/>
    <w:rsid w:val="7D8A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3884</Words>
  <Characters>5452</Characters>
  <Lines>0</Lines>
  <Paragraphs>0</Paragraphs>
  <TotalTime>3</TotalTime>
  <ScaleCrop>false</ScaleCrop>
  <LinksUpToDate>false</LinksUpToDate>
  <CharactersWithSpaces>6184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2022-09-01T01:45:00Z</dcterms:created>
  <dc:creator>WPS_1528077836</dc:creator>
  <cp:lastModifiedBy>WPS_1528077836</cp:lastModifiedBy>
  <dcterms:modified xsi:type="dcterms:W3CDTF">2022-09-01T07:06:38Z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D6C8552762B44A52B33A5BCC9449B28C</vt:lpwstr>
  </property>
</Properties>
</file>